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7316DA">
      <w:pPr>
        <w:widowControl/>
        <w:jc w:val="left"/>
        <w:rPr>
          <w:rFonts w:ascii="新宋体" w:hAnsi="新宋体" w:eastAsia="新宋体" w:cs="新宋体"/>
          <w:szCs w:val="21"/>
        </w:rPr>
      </w:pPr>
      <w:r>
        <w:rPr>
          <w:rFonts w:hint="eastAsia" w:ascii="新宋体" w:hAnsi="新宋体" w:eastAsia="新宋体" w:cs="新宋体"/>
          <w:szCs w:val="21"/>
          <w:highlight w:val="yellow"/>
        </w:rPr>
        <w:t>一、竞价人以及供应商资质要求说明：</w:t>
      </w:r>
    </w:p>
    <w:p w14:paraId="27407DCB">
      <w:pPr>
        <w:widowControl/>
        <w:spacing w:before="156" w:beforeLines="50"/>
        <w:jc w:val="left"/>
        <w:rPr>
          <w:rFonts w:ascii="新宋体" w:hAnsi="新宋体" w:eastAsia="新宋体" w:cs="新宋体"/>
          <w:szCs w:val="21"/>
        </w:rPr>
      </w:pPr>
      <w:r>
        <w:rPr>
          <w:rFonts w:hint="eastAsia" w:ascii="新宋体" w:hAnsi="新宋体" w:eastAsia="新宋体" w:cs="新宋体"/>
          <w:szCs w:val="21"/>
        </w:rPr>
        <w:t>1.1 竞价人须为独立法人，能提供正规财务审计报告或银行资信证明，信誉合规良好，近三年经营活动中无重大违法违规记录、无重大工程质量事故、安全事故及招投标失信行为。</w:t>
      </w:r>
    </w:p>
    <w:p w14:paraId="70268AFE">
      <w:pPr>
        <w:widowControl/>
        <w:spacing w:before="156" w:beforeLines="50"/>
        <w:jc w:val="left"/>
        <w:rPr>
          <w:rFonts w:ascii="新宋体" w:hAnsi="新宋体" w:eastAsia="新宋体" w:cs="新宋体"/>
          <w:szCs w:val="21"/>
        </w:rPr>
      </w:pPr>
      <w:r>
        <w:rPr>
          <w:rFonts w:hint="eastAsia" w:ascii="新宋体" w:hAnsi="新宋体" w:eastAsia="新宋体" w:cs="新宋体"/>
          <w:szCs w:val="21"/>
        </w:rPr>
        <w:t>1.2 竞价人具有压力管道安装资质（GC2）及ISO等标准化管理体系认证，并能提供质量检测报告和质量控制流程文件；供应商须具备有效期内《特种设备生产许可证》，许可项目含压力管道元件制造（压力管道管子、管件、阀门），提供证书扫描件。所有气路相关产品请从以下品牌中选择，包括：捷锐 GENTEC（上海）、浙江元曜、浙江义腾。</w:t>
      </w:r>
    </w:p>
    <w:p w14:paraId="11AF1F99">
      <w:pPr>
        <w:widowControl/>
        <w:spacing w:before="156" w:beforeLines="50"/>
        <w:jc w:val="left"/>
        <w:rPr>
          <w:rFonts w:ascii="新宋体" w:hAnsi="新宋体" w:eastAsia="新宋体" w:cs="新宋体"/>
          <w:szCs w:val="21"/>
        </w:rPr>
      </w:pPr>
      <w:r>
        <w:rPr>
          <w:rFonts w:hint="eastAsia" w:ascii="新宋体" w:hAnsi="新宋体" w:eastAsia="新宋体" w:cs="新宋体"/>
          <w:szCs w:val="21"/>
        </w:rPr>
        <w:t>1.3 竞价人项目团队须配备专业项目负责人、专业设计师、现场施工工程师和专职安全管理员，所有核心岗位必须持证上岗，严禁外聘挂靠。</w:t>
      </w:r>
    </w:p>
    <w:p w14:paraId="065BE4A9">
      <w:pPr>
        <w:widowControl/>
        <w:spacing w:before="156" w:beforeLines="50"/>
        <w:jc w:val="left"/>
        <w:rPr>
          <w:rFonts w:ascii="新宋体" w:hAnsi="新宋体" w:eastAsia="新宋体" w:cs="新宋体"/>
          <w:szCs w:val="21"/>
        </w:rPr>
      </w:pPr>
      <w:r>
        <w:rPr>
          <w:rFonts w:hint="eastAsia" w:ascii="新宋体" w:hAnsi="新宋体" w:eastAsia="新宋体" w:cs="新宋体"/>
          <w:szCs w:val="21"/>
        </w:rPr>
        <w:t>1.4 竞价人须建立完善的应急处置机制，针对气体泄漏、压力异常、设备故障及报警联动等突发情况，确保快速化解安全风险。</w:t>
      </w:r>
    </w:p>
    <w:p w14:paraId="0E5FE417">
      <w:pPr>
        <w:widowControl/>
        <w:spacing w:line="360" w:lineRule="atLeast"/>
        <w:jc w:val="left"/>
        <w:rPr>
          <w:rFonts w:ascii="新宋体" w:hAnsi="新宋体" w:eastAsia="新宋体" w:cs="新宋体"/>
          <w:szCs w:val="21"/>
        </w:rPr>
      </w:pPr>
    </w:p>
    <w:p w14:paraId="0FBDFEC8">
      <w:pPr>
        <w:pStyle w:val="3"/>
        <w:widowControl/>
        <w:spacing w:beforeAutospacing="0" w:afterAutospacing="0" w:line="360" w:lineRule="atLeast"/>
        <w:rPr>
          <w:rFonts w:hint="default" w:ascii="新宋体" w:hAnsi="新宋体" w:eastAsia="新宋体" w:cs="新宋体"/>
          <w:b w:val="0"/>
          <w:bCs w:val="0"/>
          <w:sz w:val="21"/>
          <w:szCs w:val="21"/>
        </w:rPr>
      </w:pPr>
      <w:r>
        <w:rPr>
          <w:rFonts w:ascii="新宋体" w:hAnsi="新宋体" w:eastAsia="新宋体" w:cs="新宋体"/>
          <w:b w:val="0"/>
          <w:bCs w:val="0"/>
          <w:sz w:val="21"/>
          <w:szCs w:val="21"/>
          <w:highlight w:val="yellow"/>
        </w:rPr>
        <w:t>二、项目概况及施工范围</w:t>
      </w:r>
    </w:p>
    <w:p w14:paraId="06E3E985">
      <w:pPr>
        <w:pStyle w:val="4"/>
        <w:widowControl/>
        <w:spacing w:beforeAutospacing="0" w:afterAutospacing="0" w:line="360" w:lineRule="atLeast"/>
        <w:rPr>
          <w:rFonts w:hint="default" w:ascii="新宋体" w:hAnsi="新宋体" w:eastAsia="新宋体" w:cs="新宋体"/>
          <w:b w:val="0"/>
          <w:bCs w:val="0"/>
          <w:sz w:val="21"/>
          <w:szCs w:val="21"/>
          <w:lang w:bidi="ar"/>
        </w:rPr>
      </w:pPr>
      <w:r>
        <w:rPr>
          <w:rFonts w:ascii="新宋体" w:hAnsi="新宋体" w:eastAsia="新宋体" w:cs="新宋体"/>
          <w:b w:val="0"/>
          <w:bCs w:val="0"/>
          <w:sz w:val="21"/>
          <w:szCs w:val="21"/>
        </w:rPr>
        <w:t>2.1 项目总体概况：</w:t>
      </w:r>
      <w:r>
        <w:rPr>
          <w:rFonts w:ascii="新宋体" w:hAnsi="新宋体" w:eastAsia="新宋体" w:cs="新宋体"/>
          <w:b w:val="0"/>
          <w:bCs w:val="0"/>
          <w:sz w:val="21"/>
          <w:szCs w:val="21"/>
          <w:lang w:bidi="ar"/>
        </w:rPr>
        <w:t>实验支撑楼 C3 厅共</w:t>
      </w:r>
      <w:r>
        <w:rPr>
          <w:rFonts w:ascii="新宋体" w:hAnsi="新宋体" w:eastAsia="新宋体" w:cs="新宋体"/>
          <w:sz w:val="21"/>
          <w:szCs w:val="21"/>
          <w:lang w:bidi="ar"/>
        </w:rPr>
        <w:t xml:space="preserve"> 57 间</w:t>
      </w:r>
      <w:r>
        <w:rPr>
          <w:rFonts w:ascii="新宋体" w:hAnsi="新宋体" w:eastAsia="新宋体" w:cs="新宋体"/>
          <w:b w:val="0"/>
          <w:bCs w:val="0"/>
          <w:sz w:val="21"/>
          <w:szCs w:val="21"/>
          <w:lang w:bidi="ar"/>
        </w:rPr>
        <w:t>实验室，各实验室制备、表征设备需配套高纯工艺气源，本次统一建设</w:t>
      </w:r>
      <w:r>
        <w:rPr>
          <w:rStyle w:val="8"/>
          <w:rFonts w:ascii="新宋体" w:hAnsi="新宋体" w:eastAsia="新宋体" w:cs="新宋体"/>
          <w:b w:val="0"/>
          <w:bCs w:val="0"/>
          <w:sz w:val="21"/>
          <w:szCs w:val="21"/>
          <w:lang w:bidi="ar"/>
        </w:rPr>
        <w:t>氮气、氩气、氦气</w:t>
      </w:r>
      <w:r>
        <w:rPr>
          <w:rFonts w:ascii="新宋体" w:hAnsi="新宋体" w:eastAsia="新宋体" w:cs="新宋体"/>
          <w:b w:val="0"/>
          <w:bCs w:val="0"/>
          <w:sz w:val="21"/>
          <w:szCs w:val="21"/>
          <w:lang w:bidi="ar"/>
        </w:rPr>
        <w:t>三路集中供气系统，</w:t>
      </w:r>
      <w:r>
        <w:rPr>
          <w:rFonts w:ascii="新宋体" w:hAnsi="新宋体" w:eastAsia="新宋体" w:cs="新宋体"/>
          <w:sz w:val="21"/>
          <w:szCs w:val="21"/>
          <w:lang w:bidi="ar"/>
        </w:rPr>
        <w:t>气源集中设置</w:t>
      </w:r>
      <w:r>
        <w:rPr>
          <w:rFonts w:ascii="新宋体" w:hAnsi="新宋体" w:eastAsia="新宋体" w:cs="新宋体"/>
          <w:b w:val="0"/>
          <w:bCs w:val="0"/>
          <w:sz w:val="21"/>
          <w:szCs w:val="21"/>
          <w:lang w:bidi="ar"/>
        </w:rPr>
        <w:t xml:space="preserve">于 </w:t>
      </w:r>
      <w:r>
        <w:rPr>
          <w:rFonts w:ascii="新宋体" w:hAnsi="新宋体" w:eastAsia="新宋体" w:cs="新宋体"/>
          <w:sz w:val="21"/>
          <w:szCs w:val="21"/>
          <w:lang w:bidi="ar"/>
        </w:rPr>
        <w:t>118 气瓶房</w:t>
      </w:r>
      <w:r>
        <w:rPr>
          <w:rFonts w:ascii="新宋体" w:hAnsi="新宋体" w:eastAsia="新宋体" w:cs="新宋体"/>
          <w:b w:val="0"/>
          <w:bCs w:val="0"/>
          <w:sz w:val="21"/>
          <w:szCs w:val="21"/>
          <w:lang w:bidi="ar"/>
        </w:rPr>
        <w:t>，统一管路敷设至全楼各实验室用气终端。其中管路外径分别为1/2：外径12.7mm，1/4：外径6.35mm。管道压力1MPa的情况下，1/2主管流量约150L/min，房间支管1/4流量约15L/min。</w:t>
      </w:r>
    </w:p>
    <w:p w14:paraId="708242E5">
      <w:pPr>
        <w:widowControl/>
        <w:spacing w:line="360" w:lineRule="atLeast"/>
        <w:jc w:val="left"/>
        <w:rPr>
          <w:rFonts w:ascii="新宋体" w:hAnsi="新宋体" w:eastAsia="新宋体" w:cs="新宋体"/>
          <w:kern w:val="0"/>
          <w:szCs w:val="21"/>
          <w:lang w:bidi="ar"/>
        </w:rPr>
      </w:pPr>
    </w:p>
    <w:p w14:paraId="504D3224">
      <w:pPr>
        <w:pStyle w:val="4"/>
        <w:widowControl/>
        <w:spacing w:beforeAutospacing="0" w:afterAutospacing="0" w:line="360" w:lineRule="atLeast"/>
        <w:rPr>
          <w:rFonts w:hint="default" w:ascii="新宋体" w:hAnsi="新宋体" w:eastAsia="新宋体" w:cs="新宋体"/>
          <w:b w:val="0"/>
          <w:bCs w:val="0"/>
          <w:sz w:val="21"/>
          <w:szCs w:val="21"/>
        </w:rPr>
      </w:pPr>
      <w:r>
        <w:rPr>
          <w:rFonts w:ascii="新宋体" w:hAnsi="新宋体" w:eastAsia="新宋体" w:cs="新宋体"/>
          <w:b w:val="0"/>
          <w:bCs w:val="0"/>
          <w:sz w:val="21"/>
          <w:szCs w:val="21"/>
        </w:rPr>
        <w:t>2.2 118 气瓶房气瓶汇流及固定施工要求</w:t>
      </w:r>
    </w:p>
    <w:p w14:paraId="3C897F19">
      <w:pPr>
        <w:widowControl/>
        <w:spacing w:line="360" w:lineRule="atLeast"/>
        <w:rPr>
          <w:rFonts w:ascii="新宋体" w:hAnsi="新宋体" w:eastAsia="新宋体" w:cs="新宋体"/>
          <w:szCs w:val="21"/>
        </w:rPr>
      </w:pPr>
      <w:r>
        <w:rPr>
          <w:rStyle w:val="8"/>
          <w:rFonts w:hint="eastAsia" w:ascii="新宋体" w:hAnsi="新宋体" w:eastAsia="新宋体" w:cs="新宋体"/>
          <w:b w:val="0"/>
          <w:szCs w:val="21"/>
        </w:rPr>
        <w:t>一、</w:t>
      </w:r>
      <w:r>
        <w:rPr>
          <w:rStyle w:val="8"/>
          <w:rFonts w:hint="eastAsia" w:ascii="新宋体" w:hAnsi="新宋体" w:eastAsia="新宋体" w:cs="新宋体"/>
          <w:bCs/>
          <w:szCs w:val="21"/>
        </w:rPr>
        <w:t>氦气系统</w:t>
      </w:r>
      <w:r>
        <w:rPr>
          <w:rStyle w:val="8"/>
          <w:rFonts w:hint="eastAsia" w:ascii="新宋体" w:hAnsi="新宋体" w:eastAsia="新宋体" w:cs="新宋体"/>
          <w:b w:val="0"/>
          <w:szCs w:val="21"/>
        </w:rPr>
        <w:t>（仅供一楼 10 间实验室：</w:t>
      </w:r>
      <w:r>
        <w:rPr>
          <w:rFonts w:hint="eastAsia" w:ascii="新宋体" w:hAnsi="新宋体" w:eastAsia="新宋体" w:cs="新宋体"/>
          <w:szCs w:val="21"/>
        </w:rPr>
        <w:t>102、103、105、109、110、111、113、115、116、117</w:t>
      </w:r>
      <w:r>
        <w:rPr>
          <w:rStyle w:val="8"/>
          <w:rFonts w:hint="eastAsia" w:ascii="新宋体" w:hAnsi="新宋体" w:eastAsia="新宋体" w:cs="新宋体"/>
          <w:b w:val="0"/>
          <w:szCs w:val="21"/>
        </w:rPr>
        <w:t>）</w:t>
      </w:r>
      <w:r>
        <w:rPr>
          <w:rFonts w:hint="eastAsia" w:ascii="新宋体" w:hAnsi="新宋体" w:eastAsia="新宋体" w:cs="新宋体"/>
          <w:szCs w:val="21"/>
        </w:rPr>
        <w:t xml:space="preserve"> ：配置 8 只气瓶，4 瓶为 1 组，共 2 组；组间采用手动切换控制；单组内 2 用 2 备，瓶组内气源耗尽自动切换；全部气瓶配套专用钢制气瓶固定钢架，防倾倒、防碰撞。</w:t>
      </w:r>
    </w:p>
    <w:p w14:paraId="01DDAAC4">
      <w:pPr>
        <w:widowControl/>
        <w:spacing w:line="360" w:lineRule="atLeast"/>
        <w:rPr>
          <w:rFonts w:ascii="新宋体" w:hAnsi="新宋体" w:eastAsia="新宋体" w:cs="新宋体"/>
          <w:szCs w:val="21"/>
        </w:rPr>
      </w:pPr>
    </w:p>
    <w:p w14:paraId="2FECDC06">
      <w:pPr>
        <w:widowControl/>
        <w:spacing w:line="360" w:lineRule="atLeast"/>
        <w:rPr>
          <w:rFonts w:ascii="新宋体" w:hAnsi="新宋体" w:eastAsia="新宋体" w:cs="新宋体"/>
          <w:szCs w:val="21"/>
        </w:rPr>
      </w:pPr>
      <w:r>
        <w:rPr>
          <w:rStyle w:val="8"/>
          <w:rFonts w:hint="eastAsia" w:ascii="新宋体" w:hAnsi="新宋体" w:eastAsia="新宋体" w:cs="新宋体"/>
          <w:b w:val="0"/>
          <w:szCs w:val="21"/>
        </w:rPr>
        <w:t>二、</w:t>
      </w:r>
      <w:r>
        <w:rPr>
          <w:rStyle w:val="8"/>
          <w:rFonts w:hint="eastAsia" w:ascii="新宋体" w:hAnsi="新宋体" w:eastAsia="新宋体" w:cs="新宋体"/>
          <w:bCs/>
          <w:szCs w:val="21"/>
        </w:rPr>
        <w:t>氮气系统</w:t>
      </w:r>
      <w:r>
        <w:rPr>
          <w:rStyle w:val="8"/>
          <w:rFonts w:hint="eastAsia" w:ascii="新宋体" w:hAnsi="新宋体" w:eastAsia="新宋体" w:cs="新宋体"/>
          <w:b w:val="0"/>
          <w:szCs w:val="21"/>
        </w:rPr>
        <w:t xml:space="preserve"> 全楼共 3 层，氮气工艺管路施工范围覆盖 </w:t>
      </w:r>
      <w:r>
        <w:rPr>
          <w:rStyle w:val="8"/>
          <w:rFonts w:hint="eastAsia" w:ascii="新宋体" w:hAnsi="新宋体" w:eastAsia="新宋体" w:cs="新宋体"/>
          <w:bCs/>
          <w:szCs w:val="21"/>
        </w:rPr>
        <w:t>45 间</w:t>
      </w:r>
      <w:r>
        <w:rPr>
          <w:rStyle w:val="8"/>
          <w:rFonts w:hint="eastAsia" w:ascii="新宋体" w:hAnsi="新宋体" w:eastAsia="新宋体" w:cs="新宋体"/>
          <w:b w:val="0"/>
          <w:szCs w:val="21"/>
        </w:rPr>
        <w:t>实验室。下述实验室不在管路安装范围内：202、206、210、211、215A、215B、302、310、311、317、331A、331B ：</w:t>
      </w:r>
      <w:r>
        <w:rPr>
          <w:rFonts w:hint="eastAsia" w:ascii="新宋体" w:hAnsi="新宋体" w:eastAsia="新宋体" w:cs="新宋体"/>
          <w:szCs w:val="21"/>
        </w:rPr>
        <w:t>三层管路独立布设，分三路独立供气主管；每层配置 8 只气瓶，4 用 4 备，瓶内气源用尽自动切换；全部气瓶配套专用钢制气瓶固定钢架，防倾倒、防碰撞。</w:t>
      </w:r>
    </w:p>
    <w:p w14:paraId="2CC19C36">
      <w:pPr>
        <w:widowControl/>
        <w:spacing w:line="360" w:lineRule="atLeast"/>
        <w:rPr>
          <w:rFonts w:ascii="新宋体" w:hAnsi="新宋体" w:eastAsia="新宋体" w:cs="新宋体"/>
          <w:szCs w:val="21"/>
        </w:rPr>
      </w:pPr>
    </w:p>
    <w:p w14:paraId="1A929FC8">
      <w:pPr>
        <w:widowControl/>
        <w:spacing w:line="360" w:lineRule="atLeast"/>
        <w:rPr>
          <w:rFonts w:ascii="新宋体" w:hAnsi="新宋体" w:eastAsia="新宋体" w:cs="新宋体"/>
          <w:szCs w:val="21"/>
        </w:rPr>
      </w:pPr>
      <w:r>
        <w:rPr>
          <w:rStyle w:val="8"/>
          <w:rFonts w:hint="eastAsia" w:ascii="新宋体" w:hAnsi="新宋体" w:eastAsia="新宋体" w:cs="新宋体"/>
          <w:b w:val="0"/>
          <w:szCs w:val="21"/>
        </w:rPr>
        <w:t>三、</w:t>
      </w:r>
      <w:r>
        <w:rPr>
          <w:rStyle w:val="8"/>
          <w:rFonts w:hint="eastAsia" w:ascii="新宋体" w:hAnsi="新宋体" w:eastAsia="新宋体" w:cs="新宋体"/>
          <w:bCs/>
          <w:szCs w:val="21"/>
        </w:rPr>
        <w:t xml:space="preserve">氩气系统 </w:t>
      </w:r>
      <w:r>
        <w:rPr>
          <w:rStyle w:val="8"/>
          <w:rFonts w:hint="eastAsia" w:ascii="新宋体" w:hAnsi="新宋体" w:eastAsia="新宋体" w:cs="新宋体"/>
          <w:b w:val="0"/>
          <w:szCs w:val="21"/>
        </w:rPr>
        <w:t xml:space="preserve">全楼共 3 层，氩气工艺管路施工范围覆盖 </w:t>
      </w:r>
      <w:r>
        <w:rPr>
          <w:rStyle w:val="8"/>
          <w:rFonts w:hint="eastAsia" w:ascii="新宋体" w:hAnsi="新宋体" w:eastAsia="新宋体" w:cs="新宋体"/>
          <w:bCs/>
          <w:szCs w:val="21"/>
        </w:rPr>
        <w:t>45 间</w:t>
      </w:r>
      <w:r>
        <w:rPr>
          <w:rStyle w:val="8"/>
          <w:rFonts w:hint="eastAsia" w:ascii="新宋体" w:hAnsi="新宋体" w:eastAsia="新宋体" w:cs="新宋体"/>
          <w:b w:val="0"/>
          <w:szCs w:val="21"/>
        </w:rPr>
        <w:t>实验室。下述实验室不在管路安装范围内：202、206、210、211、215A、215B、302、310、311、317、331A、331B ：</w:t>
      </w:r>
      <w:r>
        <w:rPr>
          <w:rFonts w:hint="eastAsia" w:ascii="新宋体" w:hAnsi="新宋体" w:eastAsia="新宋体" w:cs="新宋体"/>
          <w:szCs w:val="21"/>
        </w:rPr>
        <w:t xml:space="preserve"> 三层管路独立布设，分三路独立供气主管；每层配置 12 只气瓶，6 瓶 1 组，共 2 组；组间手动切换，单组内 3 用 3 备，瓶内气源耗尽自动切换；全部气瓶配套专用钢制气瓶固定钢架，防倾倒、防碰撞。</w:t>
      </w:r>
    </w:p>
    <w:p w14:paraId="06087F2C">
      <w:pPr>
        <w:widowControl/>
        <w:spacing w:line="360" w:lineRule="atLeast"/>
        <w:rPr>
          <w:rFonts w:ascii="新宋体" w:hAnsi="新宋体" w:eastAsia="新宋体" w:cs="新宋体"/>
          <w:szCs w:val="21"/>
        </w:rPr>
      </w:pPr>
    </w:p>
    <w:p w14:paraId="0F03615A">
      <w:pPr>
        <w:pStyle w:val="4"/>
        <w:widowControl/>
        <w:spacing w:beforeAutospacing="0" w:afterAutospacing="0" w:line="360" w:lineRule="atLeast"/>
        <w:rPr>
          <w:rFonts w:hint="default" w:ascii="新宋体" w:hAnsi="新宋体" w:eastAsia="新宋体" w:cs="新宋体"/>
          <w:b w:val="0"/>
          <w:bCs w:val="0"/>
          <w:sz w:val="21"/>
          <w:szCs w:val="21"/>
        </w:rPr>
      </w:pPr>
      <w:r>
        <w:rPr>
          <w:rFonts w:ascii="新宋体" w:hAnsi="新宋体" w:eastAsia="新宋体" w:cs="新宋体"/>
          <w:b w:val="0"/>
          <w:bCs w:val="0"/>
          <w:sz w:val="21"/>
          <w:szCs w:val="21"/>
        </w:rPr>
        <w:t>2.3 管路敷设范围</w:t>
      </w:r>
    </w:p>
    <w:p w14:paraId="0FBA6D2D">
      <w:pPr>
        <w:widowControl/>
        <w:spacing w:line="360" w:lineRule="atLeast"/>
        <w:rPr>
          <w:rFonts w:ascii="新宋体" w:hAnsi="新宋体" w:eastAsia="新宋体" w:cs="新宋体"/>
          <w:szCs w:val="21"/>
        </w:rPr>
      </w:pPr>
      <w:r>
        <w:rPr>
          <w:rFonts w:hint="eastAsia" w:ascii="新宋体" w:hAnsi="新宋体" w:eastAsia="新宋体" w:cs="新宋体"/>
          <w:szCs w:val="21"/>
        </w:rPr>
        <w:t>一、</w:t>
      </w:r>
      <w:r>
        <w:rPr>
          <w:rFonts w:hint="eastAsia" w:ascii="新宋体" w:hAnsi="新宋体" w:eastAsia="新宋体" w:cs="新宋体"/>
          <w:b/>
          <w:bCs/>
          <w:szCs w:val="21"/>
        </w:rPr>
        <w:t>氦气</w:t>
      </w:r>
      <w:r>
        <w:rPr>
          <w:rFonts w:hint="eastAsia" w:ascii="新宋体" w:hAnsi="新宋体" w:eastAsia="新宋体" w:cs="新宋体"/>
          <w:szCs w:val="21"/>
        </w:rPr>
        <w:t xml:space="preserve">管路：由 118 气瓶房敷设至一楼指定 </w:t>
      </w:r>
      <w:r>
        <w:rPr>
          <w:rFonts w:hint="eastAsia" w:ascii="新宋体" w:hAnsi="新宋体" w:eastAsia="新宋体" w:cs="新宋体"/>
          <w:b/>
          <w:bCs/>
          <w:szCs w:val="21"/>
        </w:rPr>
        <w:t>10 间实验室</w:t>
      </w:r>
      <w:r>
        <w:rPr>
          <w:rFonts w:hint="eastAsia" w:ascii="新宋体" w:hAnsi="新宋体" w:eastAsia="新宋体" w:cs="新宋体"/>
          <w:szCs w:val="21"/>
        </w:rPr>
        <w:t>（102、103、105、109、110、111、113、115、116、117 室）用气点位；</w:t>
      </w:r>
    </w:p>
    <w:p w14:paraId="7DFB02A7">
      <w:pPr>
        <w:widowControl/>
        <w:spacing w:line="360" w:lineRule="atLeast"/>
        <w:rPr>
          <w:rFonts w:ascii="新宋体" w:hAnsi="新宋体" w:eastAsia="新宋体" w:cs="新宋体"/>
          <w:szCs w:val="21"/>
        </w:rPr>
      </w:pPr>
    </w:p>
    <w:p w14:paraId="21A1C06C">
      <w:pPr>
        <w:widowControl/>
        <w:numPr>
          <w:ilvl w:val="0"/>
          <w:numId w:val="1"/>
        </w:numPr>
        <w:spacing w:line="360" w:lineRule="atLeast"/>
        <w:rPr>
          <w:rFonts w:ascii="新宋体" w:hAnsi="新宋体" w:eastAsia="新宋体" w:cs="新宋体"/>
          <w:szCs w:val="21"/>
        </w:rPr>
      </w:pPr>
      <w:r>
        <w:rPr>
          <w:rFonts w:hint="eastAsia" w:ascii="新宋体" w:hAnsi="新宋体" w:eastAsia="新宋体" w:cs="新宋体"/>
          <w:b/>
          <w:bCs/>
          <w:szCs w:val="21"/>
        </w:rPr>
        <w:t>氮气</w:t>
      </w:r>
      <w:r>
        <w:rPr>
          <w:rFonts w:hint="eastAsia" w:ascii="新宋体" w:hAnsi="新宋体" w:eastAsia="新宋体" w:cs="新宋体"/>
          <w:szCs w:val="21"/>
        </w:rPr>
        <w:t xml:space="preserve">管路：由 118 气瓶房敷设至全楼 </w:t>
      </w:r>
      <w:r>
        <w:rPr>
          <w:rFonts w:hint="eastAsia" w:ascii="新宋体" w:hAnsi="新宋体" w:eastAsia="新宋体" w:cs="新宋体"/>
          <w:b/>
          <w:bCs/>
          <w:szCs w:val="21"/>
        </w:rPr>
        <w:t>45 间实验室（</w:t>
      </w:r>
      <w:r>
        <w:rPr>
          <w:rStyle w:val="8"/>
          <w:rFonts w:hint="eastAsia" w:ascii="新宋体" w:hAnsi="新宋体" w:eastAsia="新宋体" w:cs="新宋体"/>
          <w:bCs/>
          <w:szCs w:val="21"/>
        </w:rPr>
        <w:t>下述实验室不在管路安装范围内：</w:t>
      </w:r>
      <w:r>
        <w:rPr>
          <w:rFonts w:hint="eastAsia" w:ascii="新宋体" w:hAnsi="新宋体" w:eastAsia="新宋体" w:cs="新宋体"/>
          <w:b/>
          <w:bCs/>
          <w:szCs w:val="21"/>
        </w:rPr>
        <w:t>202、206、210、211、215A、215B、302、310、311、317、331A、331B）</w:t>
      </w:r>
      <w:r>
        <w:rPr>
          <w:rFonts w:hint="eastAsia" w:ascii="新宋体" w:hAnsi="新宋体" w:eastAsia="新宋体" w:cs="新宋体"/>
          <w:szCs w:val="21"/>
        </w:rPr>
        <w:t xml:space="preserve">；从 </w:t>
      </w:r>
      <w:r>
        <w:rPr>
          <w:rFonts w:hint="eastAsia" w:ascii="新宋体" w:hAnsi="新宋体" w:eastAsia="新宋体" w:cs="新宋体"/>
          <w:b/>
          <w:bCs/>
          <w:szCs w:val="21"/>
        </w:rPr>
        <w:t>114 实验室</w:t>
      </w:r>
      <w:r>
        <w:rPr>
          <w:rFonts w:hint="eastAsia" w:ascii="新宋体" w:hAnsi="新宋体" w:eastAsia="新宋体" w:cs="新宋体"/>
          <w:szCs w:val="21"/>
        </w:rPr>
        <w:t>引出分支管线，敷设至二、三层指定用气点位；</w:t>
      </w:r>
    </w:p>
    <w:p w14:paraId="555FBD89">
      <w:pPr>
        <w:widowControl/>
        <w:spacing w:line="360" w:lineRule="atLeast"/>
        <w:rPr>
          <w:rFonts w:ascii="新宋体" w:hAnsi="新宋体" w:eastAsia="新宋体" w:cs="新宋体"/>
          <w:szCs w:val="21"/>
        </w:rPr>
      </w:pPr>
    </w:p>
    <w:p w14:paraId="54F7037D">
      <w:pPr>
        <w:widowControl/>
        <w:spacing w:line="360" w:lineRule="atLeast"/>
        <w:rPr>
          <w:rFonts w:ascii="新宋体" w:hAnsi="新宋体" w:eastAsia="新宋体" w:cs="新宋体"/>
          <w:szCs w:val="21"/>
        </w:rPr>
      </w:pPr>
      <w:r>
        <w:rPr>
          <w:rFonts w:hint="eastAsia" w:ascii="新宋体" w:hAnsi="新宋体" w:eastAsia="新宋体" w:cs="新宋体"/>
          <w:szCs w:val="21"/>
        </w:rPr>
        <w:t>三、</w:t>
      </w:r>
      <w:r>
        <w:rPr>
          <w:rFonts w:hint="eastAsia" w:ascii="新宋体" w:hAnsi="新宋体" w:eastAsia="新宋体" w:cs="新宋体"/>
          <w:b/>
          <w:bCs/>
          <w:szCs w:val="21"/>
        </w:rPr>
        <w:t>氩气</w:t>
      </w:r>
      <w:r>
        <w:rPr>
          <w:rFonts w:hint="eastAsia" w:ascii="新宋体" w:hAnsi="新宋体" w:eastAsia="新宋体" w:cs="新宋体"/>
          <w:szCs w:val="21"/>
        </w:rPr>
        <w:t xml:space="preserve">管路：由 118 气瓶房敷设至全楼 </w:t>
      </w:r>
      <w:r>
        <w:rPr>
          <w:rFonts w:hint="eastAsia" w:ascii="新宋体" w:hAnsi="新宋体" w:eastAsia="新宋体" w:cs="新宋体"/>
          <w:b/>
          <w:bCs/>
          <w:szCs w:val="21"/>
        </w:rPr>
        <w:t>45 间实验室（</w:t>
      </w:r>
      <w:r>
        <w:rPr>
          <w:rStyle w:val="8"/>
          <w:rFonts w:hint="eastAsia" w:ascii="新宋体" w:hAnsi="新宋体" w:eastAsia="新宋体" w:cs="新宋体"/>
          <w:bCs/>
          <w:szCs w:val="21"/>
        </w:rPr>
        <w:t>下述实验室不在管路安装范围内：</w:t>
      </w:r>
      <w:r>
        <w:rPr>
          <w:rFonts w:hint="eastAsia" w:ascii="新宋体" w:hAnsi="新宋体" w:eastAsia="新宋体" w:cs="新宋体"/>
          <w:b/>
          <w:bCs/>
          <w:szCs w:val="21"/>
        </w:rPr>
        <w:t>202、206、210、211、215A、215B、302、310、311、317、331A、331B）</w:t>
      </w:r>
      <w:r>
        <w:rPr>
          <w:rFonts w:hint="eastAsia" w:ascii="新宋体" w:hAnsi="新宋体" w:eastAsia="新宋体" w:cs="新宋体"/>
          <w:szCs w:val="21"/>
        </w:rPr>
        <w:t xml:space="preserve">；从 </w:t>
      </w:r>
      <w:r>
        <w:rPr>
          <w:rFonts w:hint="eastAsia" w:ascii="新宋体" w:hAnsi="新宋体" w:eastAsia="新宋体" w:cs="新宋体"/>
          <w:b/>
          <w:bCs/>
          <w:szCs w:val="21"/>
        </w:rPr>
        <w:t>114 实验室</w:t>
      </w:r>
      <w:r>
        <w:rPr>
          <w:rFonts w:hint="eastAsia" w:ascii="新宋体" w:hAnsi="新宋体" w:eastAsia="新宋体" w:cs="新宋体"/>
          <w:szCs w:val="21"/>
        </w:rPr>
        <w:t>引出分支管线，敷设至二、三层指定用气点位。</w:t>
      </w:r>
    </w:p>
    <w:p w14:paraId="234DC0A2">
      <w:pPr>
        <w:widowControl/>
        <w:spacing w:line="360" w:lineRule="atLeast"/>
        <w:rPr>
          <w:rFonts w:ascii="新宋体" w:hAnsi="新宋体" w:eastAsia="新宋体" w:cs="新宋体"/>
          <w:szCs w:val="21"/>
        </w:rPr>
      </w:pPr>
    </w:p>
    <w:p w14:paraId="78E3C1BE">
      <w:pPr>
        <w:pStyle w:val="4"/>
        <w:widowControl/>
        <w:spacing w:beforeAutospacing="0" w:afterAutospacing="0" w:line="360" w:lineRule="atLeast"/>
        <w:rPr>
          <w:rFonts w:hint="default" w:ascii="新宋体" w:hAnsi="新宋体" w:eastAsia="新宋体" w:cs="新宋体"/>
          <w:b w:val="0"/>
          <w:bCs w:val="0"/>
          <w:sz w:val="21"/>
          <w:szCs w:val="21"/>
          <w:lang w:bidi="ar"/>
        </w:rPr>
      </w:pPr>
      <w:r>
        <w:rPr>
          <w:rFonts w:ascii="新宋体" w:hAnsi="新宋体" w:eastAsia="新宋体" w:cs="新宋体"/>
          <w:b w:val="0"/>
          <w:bCs w:val="0"/>
          <w:sz w:val="21"/>
          <w:szCs w:val="21"/>
        </w:rPr>
        <w:t>2.4 终端配套要求：</w:t>
      </w:r>
      <w:r>
        <w:rPr>
          <w:rFonts w:ascii="新宋体" w:hAnsi="新宋体" w:eastAsia="新宋体" w:cs="新宋体"/>
          <w:b w:val="0"/>
          <w:bCs w:val="0"/>
          <w:sz w:val="21"/>
          <w:szCs w:val="21"/>
          <w:lang w:bidi="ar"/>
        </w:rPr>
        <w:t>所有实验室气体</w:t>
      </w:r>
      <w:r>
        <w:rPr>
          <w:rFonts w:ascii="新宋体" w:hAnsi="新宋体" w:eastAsia="新宋体" w:cs="新宋体"/>
          <w:sz w:val="21"/>
          <w:szCs w:val="21"/>
          <w:lang w:bidi="ar"/>
        </w:rPr>
        <w:t>管路末端</w:t>
      </w:r>
      <w:r>
        <w:rPr>
          <w:rFonts w:ascii="新宋体" w:hAnsi="新宋体" w:eastAsia="新宋体" w:cs="新宋体"/>
          <w:b w:val="0"/>
          <w:bCs w:val="0"/>
          <w:sz w:val="21"/>
          <w:szCs w:val="21"/>
          <w:lang w:bidi="ar"/>
        </w:rPr>
        <w:t>统一安装 SS316L 低压球阀，便于实验室内部二次管线接驳、分段检修切断。</w:t>
      </w:r>
    </w:p>
    <w:p w14:paraId="548C8D62">
      <w:pPr>
        <w:widowControl/>
        <w:spacing w:line="360" w:lineRule="atLeast"/>
        <w:jc w:val="left"/>
        <w:rPr>
          <w:rFonts w:ascii="新宋体" w:hAnsi="新宋体" w:eastAsia="新宋体" w:cs="新宋体"/>
          <w:kern w:val="0"/>
          <w:szCs w:val="21"/>
          <w:lang w:bidi="ar"/>
        </w:rPr>
      </w:pPr>
    </w:p>
    <w:p w14:paraId="2F18D014">
      <w:pPr>
        <w:pStyle w:val="4"/>
        <w:widowControl/>
        <w:spacing w:beforeAutospacing="0" w:afterAutospacing="0" w:line="360" w:lineRule="atLeast"/>
        <w:rPr>
          <w:rFonts w:hint="default" w:ascii="新宋体" w:hAnsi="新宋体" w:eastAsia="新宋体" w:cs="新宋体"/>
          <w:b w:val="0"/>
          <w:bCs w:val="0"/>
          <w:sz w:val="21"/>
          <w:szCs w:val="21"/>
          <w:lang w:bidi="ar"/>
        </w:rPr>
      </w:pPr>
      <w:r>
        <w:rPr>
          <w:rFonts w:ascii="新宋体" w:hAnsi="新宋体" w:eastAsia="新宋体" w:cs="新宋体"/>
          <w:b w:val="0"/>
          <w:bCs w:val="0"/>
          <w:sz w:val="21"/>
          <w:szCs w:val="21"/>
        </w:rPr>
        <w:t>2.5 气瓶智能监测报警系统：</w:t>
      </w:r>
      <w:r>
        <w:rPr>
          <w:rFonts w:ascii="新宋体" w:hAnsi="新宋体" w:eastAsia="新宋体" w:cs="新宋体"/>
          <w:b w:val="0"/>
          <w:bCs w:val="0"/>
          <w:sz w:val="21"/>
          <w:szCs w:val="21"/>
          <w:lang w:bidi="ar"/>
        </w:rPr>
        <w:t>整套系统配套气瓶在线监测报警主机，实时监测气瓶余量、管路泄漏、压力异常等故障；触发声光报警、数显触控本地提示，同步推送报警信息至项目管理人员移动端。</w:t>
      </w:r>
    </w:p>
    <w:p w14:paraId="65F3632F">
      <w:pPr>
        <w:widowControl/>
        <w:spacing w:line="360" w:lineRule="atLeast"/>
        <w:jc w:val="left"/>
        <w:rPr>
          <w:rFonts w:ascii="新宋体" w:hAnsi="新宋体" w:eastAsia="新宋体" w:cs="新宋体"/>
          <w:kern w:val="0"/>
          <w:szCs w:val="21"/>
          <w:lang w:bidi="ar"/>
        </w:rPr>
      </w:pPr>
    </w:p>
    <w:p w14:paraId="4530ECB2">
      <w:pPr>
        <w:pStyle w:val="3"/>
        <w:widowControl/>
        <w:spacing w:beforeAutospacing="0" w:afterAutospacing="0" w:line="360" w:lineRule="atLeast"/>
        <w:rPr>
          <w:rFonts w:hint="default" w:ascii="新宋体" w:hAnsi="新宋体" w:eastAsia="新宋体" w:cs="新宋体"/>
          <w:b w:val="0"/>
          <w:bCs w:val="0"/>
          <w:sz w:val="21"/>
          <w:szCs w:val="21"/>
          <w:lang w:bidi="ar"/>
        </w:rPr>
      </w:pPr>
      <w:r>
        <w:rPr>
          <w:rFonts w:ascii="新宋体" w:hAnsi="新宋体" w:eastAsia="新宋体" w:cs="新宋体"/>
          <w:b w:val="0"/>
          <w:bCs w:val="0"/>
          <w:sz w:val="21"/>
          <w:szCs w:val="21"/>
          <w:highlight w:val="yellow"/>
        </w:rPr>
        <w:t>三、承包模式说明：</w:t>
      </w:r>
      <w:r>
        <w:rPr>
          <w:rFonts w:ascii="新宋体" w:hAnsi="新宋体" w:eastAsia="新宋体" w:cs="新宋体"/>
          <w:b w:val="0"/>
          <w:bCs w:val="0"/>
          <w:sz w:val="21"/>
          <w:szCs w:val="21"/>
          <w:lang w:bidi="ar"/>
        </w:rPr>
        <w:t>本项目采用竞价人</w:t>
      </w:r>
      <w:r>
        <w:rPr>
          <w:rStyle w:val="8"/>
          <w:rFonts w:ascii="新宋体" w:hAnsi="新宋体" w:eastAsia="新宋体" w:cs="新宋体"/>
          <w:b w:val="0"/>
          <w:bCs w:val="0"/>
          <w:sz w:val="21"/>
          <w:szCs w:val="21"/>
          <w:lang w:bidi="ar"/>
        </w:rPr>
        <w:t>包工包料</w:t>
      </w:r>
      <w:r>
        <w:rPr>
          <w:rFonts w:ascii="新宋体" w:hAnsi="新宋体" w:eastAsia="新宋体" w:cs="新宋体"/>
          <w:b w:val="0"/>
          <w:bCs w:val="0"/>
          <w:sz w:val="21"/>
          <w:szCs w:val="21"/>
          <w:lang w:bidi="ar"/>
        </w:rPr>
        <w:t>模式，全部管材、管件、阀门、汇流排、气瓶钢架、监测报警系统、辅材耗材、工具设备均由中标公司全额采购、供货、安装、调试。</w:t>
      </w:r>
    </w:p>
    <w:p w14:paraId="00F554B7"/>
    <w:p w14:paraId="5EBFA11B">
      <w:pPr>
        <w:pStyle w:val="3"/>
        <w:widowControl/>
        <w:spacing w:beforeAutospacing="0" w:afterAutospacing="0" w:line="360" w:lineRule="atLeast"/>
        <w:rPr>
          <w:rFonts w:hint="default" w:ascii="新宋体" w:hAnsi="新宋体" w:eastAsia="新宋体" w:cs="新宋体"/>
          <w:b w:val="0"/>
          <w:bCs w:val="0"/>
          <w:sz w:val="21"/>
          <w:szCs w:val="21"/>
          <w:highlight w:val="yellow"/>
        </w:rPr>
      </w:pPr>
      <w:r>
        <w:rPr>
          <w:rFonts w:ascii="新宋体" w:hAnsi="新宋体" w:eastAsia="新宋体" w:cs="新宋体"/>
          <w:b w:val="0"/>
          <w:bCs w:val="0"/>
          <w:sz w:val="21"/>
          <w:szCs w:val="21"/>
          <w:highlight w:val="yellow"/>
        </w:rPr>
        <w:t>四、设备管材型号清单（标准技术物料）</w:t>
      </w:r>
    </w:p>
    <w:p w14:paraId="78948497">
      <w:pPr>
        <w:widowControl/>
        <w:spacing w:line="360" w:lineRule="atLeast"/>
        <w:rPr>
          <w:rFonts w:ascii="新宋体" w:hAnsi="新宋体" w:eastAsia="新宋体" w:cs="新宋体"/>
          <w:szCs w:val="21"/>
        </w:rPr>
      </w:pPr>
      <w:r>
        <w:rPr>
          <w:rFonts w:hint="eastAsia" w:ascii="新宋体" w:hAnsi="新宋体" w:eastAsia="新宋体" w:cs="新宋体"/>
          <w:szCs w:val="21"/>
        </w:rPr>
        <w:t>1. 不锈钢管道：SS316L BA 3/4"、SS316L BA 1/4"、SS316L EP UHP 超高纯电解抛光管；</w:t>
      </w:r>
    </w:p>
    <w:p w14:paraId="74AF7CDA">
      <w:pPr>
        <w:widowControl/>
        <w:spacing w:line="360" w:lineRule="atLeast"/>
        <w:rPr>
          <w:rFonts w:ascii="新宋体" w:hAnsi="新宋体" w:eastAsia="新宋体" w:cs="新宋体"/>
          <w:szCs w:val="21"/>
        </w:rPr>
      </w:pPr>
      <w:r>
        <w:rPr>
          <w:rFonts w:hint="eastAsia" w:ascii="新宋体" w:hAnsi="新宋体" w:eastAsia="新宋体" w:cs="新宋体"/>
          <w:szCs w:val="21"/>
        </w:rPr>
        <w:t>2. 钢瓶标准接头：G5/8；</w:t>
      </w:r>
    </w:p>
    <w:p w14:paraId="0B55BBE6">
      <w:pPr>
        <w:widowControl/>
        <w:spacing w:line="360" w:lineRule="atLeast"/>
        <w:rPr>
          <w:rFonts w:ascii="新宋体" w:hAnsi="新宋体" w:eastAsia="新宋体" w:cs="新宋体"/>
          <w:szCs w:val="21"/>
        </w:rPr>
      </w:pPr>
      <w:r>
        <w:rPr>
          <w:rFonts w:hint="eastAsia" w:ascii="新宋体" w:hAnsi="新宋体" w:eastAsia="新宋体" w:cs="新宋体"/>
          <w:szCs w:val="21"/>
        </w:rPr>
        <w:t>3. 不锈钢双卡套接头：</w:t>
      </w:r>
      <w:r>
        <w:rPr>
          <w:rFonts w:hint="eastAsia" w:ascii="宋体" w:hAnsi="宋体" w:eastAsia="宋体" w:cs="宋体"/>
          <w:szCs w:val="21"/>
        </w:rPr>
        <w:t>SS316L-1/4MNPT</w:t>
      </w:r>
      <w:r>
        <w:rPr>
          <w:rStyle w:val="9"/>
          <w:rFonts w:hint="eastAsia" w:ascii="宋体" w:hAnsi="宋体" w:eastAsia="宋体" w:cs="宋体"/>
          <w:i w:val="0"/>
          <w:szCs w:val="21"/>
        </w:rPr>
        <w:t>1/4MNPT、SS316L-1/4MNPT</w:t>
      </w:r>
      <w:r>
        <w:rPr>
          <w:rFonts w:hint="eastAsia" w:ascii="宋体" w:hAnsi="宋体" w:eastAsia="宋体" w:cs="宋体"/>
          <w:szCs w:val="21"/>
        </w:rPr>
        <w:t>1/2OD；</w:t>
      </w:r>
    </w:p>
    <w:p w14:paraId="73160E0A">
      <w:pPr>
        <w:widowControl/>
        <w:spacing w:line="360" w:lineRule="atLeast"/>
        <w:rPr>
          <w:rFonts w:ascii="新宋体" w:hAnsi="新宋体" w:eastAsia="新宋体" w:cs="新宋体"/>
          <w:szCs w:val="21"/>
        </w:rPr>
      </w:pPr>
      <w:r>
        <w:rPr>
          <w:rFonts w:hint="eastAsia" w:ascii="新宋体" w:hAnsi="新宋体" w:eastAsia="新宋体" w:cs="新宋体"/>
          <w:szCs w:val="21"/>
        </w:rPr>
        <w:t>4. 焊接管件：SS316 焊接变径三通（1/2-1/4-1/2）、SS316L BA 焊接变径大小头（1"-3/4）</w:t>
      </w:r>
      <w:bookmarkStart w:id="0" w:name="_GoBack"/>
      <w:bookmarkEnd w:id="0"/>
      <w:r>
        <w:rPr>
          <w:rFonts w:hint="eastAsia" w:ascii="新宋体" w:hAnsi="新宋体" w:eastAsia="新宋体" w:cs="新宋体"/>
          <w:szCs w:val="21"/>
        </w:rPr>
        <w:t>等；</w:t>
      </w:r>
    </w:p>
    <w:p w14:paraId="30258B46">
      <w:pPr>
        <w:widowControl/>
        <w:spacing w:line="360" w:lineRule="atLeast"/>
        <w:rPr>
          <w:rFonts w:ascii="新宋体" w:hAnsi="新宋体" w:eastAsia="新宋体" w:cs="新宋体"/>
          <w:szCs w:val="21"/>
        </w:rPr>
      </w:pPr>
      <w:r>
        <w:rPr>
          <w:rFonts w:hint="eastAsia" w:ascii="新宋体" w:hAnsi="新宋体" w:eastAsia="新宋体" w:cs="新宋体"/>
          <w:szCs w:val="21"/>
        </w:rPr>
        <w:t>5. 阀门：SS316L 低压手动球阀、SS316 高压球阀（1/4 规格）等；</w:t>
      </w:r>
    </w:p>
    <w:p w14:paraId="2B5CB6CD">
      <w:pPr>
        <w:widowControl/>
        <w:spacing w:line="360" w:lineRule="atLeast"/>
        <w:rPr>
          <w:rFonts w:ascii="新宋体" w:hAnsi="新宋体" w:eastAsia="新宋体" w:cs="新宋体"/>
          <w:szCs w:val="21"/>
        </w:rPr>
      </w:pPr>
      <w:r>
        <w:rPr>
          <w:rFonts w:hint="eastAsia" w:ascii="新宋体" w:hAnsi="新宋体" w:eastAsia="新宋体" w:cs="新宋体"/>
          <w:szCs w:val="21"/>
        </w:rPr>
        <w:t xml:space="preserve">6. </w:t>
      </w:r>
      <w:r>
        <w:rPr>
          <w:rFonts w:hint="eastAsia" w:ascii="新宋体" w:hAnsi="新宋体" w:eastAsia="新宋体" w:cs="新宋体"/>
          <w:szCs w:val="21"/>
          <w:lang w:val="en-US" w:eastAsia="zh-CN"/>
        </w:rPr>
        <w:t>安全</w:t>
      </w:r>
      <w:r>
        <w:rPr>
          <w:rFonts w:hint="eastAsia" w:ascii="新宋体" w:hAnsi="新宋体" w:eastAsia="新宋体" w:cs="新宋体"/>
          <w:szCs w:val="21"/>
        </w:rPr>
        <w:t>监测设备：16 路压力监测报警主机，支持数显触控、本地声光报警。</w:t>
      </w:r>
    </w:p>
    <w:p w14:paraId="1EDD9D0F">
      <w:pPr>
        <w:widowControl/>
        <w:spacing w:line="360" w:lineRule="atLeast"/>
        <w:rPr>
          <w:rFonts w:ascii="新宋体" w:hAnsi="新宋体" w:eastAsia="新宋体" w:cs="新宋体"/>
          <w:szCs w:val="21"/>
        </w:rPr>
      </w:pPr>
    </w:p>
    <w:p w14:paraId="36DEFFF9">
      <w:pPr>
        <w:pStyle w:val="3"/>
        <w:widowControl/>
        <w:spacing w:beforeAutospacing="0" w:afterAutospacing="0" w:line="360" w:lineRule="atLeast"/>
        <w:rPr>
          <w:rFonts w:hint="default" w:ascii="新宋体" w:hAnsi="新宋体" w:eastAsia="新宋体" w:cs="新宋体"/>
          <w:b w:val="0"/>
          <w:bCs w:val="0"/>
          <w:sz w:val="21"/>
          <w:szCs w:val="21"/>
          <w:highlight w:val="yellow"/>
        </w:rPr>
      </w:pPr>
      <w:r>
        <w:rPr>
          <w:rFonts w:ascii="新宋体" w:hAnsi="新宋体" w:eastAsia="新宋体" w:cs="新宋体"/>
          <w:b w:val="0"/>
          <w:bCs w:val="0"/>
          <w:sz w:val="21"/>
          <w:szCs w:val="21"/>
          <w:highlight w:val="yellow"/>
        </w:rPr>
        <w:t>五、系统核心技术参数标准</w:t>
      </w:r>
    </w:p>
    <w:p w14:paraId="240EBDCA">
      <w:pPr>
        <w:rPr>
          <w:rFonts w:ascii="新宋体" w:hAnsi="新宋体" w:eastAsia="新宋体" w:cs="新宋体"/>
          <w:szCs w:val="21"/>
        </w:rPr>
      </w:pPr>
    </w:p>
    <w:tbl>
      <w:tblPr>
        <w:tblStyle w:val="6"/>
        <w:tblW w:w="0" w:type="auto"/>
        <w:tblCellSpacing w:w="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509"/>
        <w:gridCol w:w="1995"/>
        <w:gridCol w:w="1995"/>
        <w:gridCol w:w="2887"/>
      </w:tblGrid>
      <w:tr w14:paraId="68CBB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Header/>
          <w:tblCellSpacing w:w="15" w:type="dxa"/>
        </w:trPr>
        <w:tc>
          <w:tcPr>
            <w:tcW w:w="0" w:type="auto"/>
            <w:shd w:val="clear" w:color="auto" w:fill="auto"/>
            <w:vAlign w:val="center"/>
          </w:tcPr>
          <w:p w14:paraId="6493A90D">
            <w:pPr>
              <w:widowControl/>
              <w:spacing w:line="360" w:lineRule="atLeast"/>
              <w:jc w:val="center"/>
              <w:rPr>
                <w:rFonts w:ascii="新宋体" w:hAnsi="新宋体" w:eastAsia="新宋体" w:cs="新宋体"/>
                <w:b/>
                <w:bCs/>
                <w:szCs w:val="21"/>
              </w:rPr>
            </w:pPr>
            <w:r>
              <w:rPr>
                <w:rFonts w:hint="eastAsia" w:ascii="新宋体" w:hAnsi="新宋体" w:eastAsia="新宋体" w:cs="新宋体"/>
                <w:b/>
                <w:bCs/>
                <w:kern w:val="0"/>
                <w:szCs w:val="21"/>
                <w:lang w:bidi="ar"/>
              </w:rPr>
              <w:t>参数类别</w:t>
            </w:r>
          </w:p>
        </w:tc>
        <w:tc>
          <w:tcPr>
            <w:tcW w:w="0" w:type="auto"/>
            <w:shd w:val="clear" w:color="auto" w:fill="auto"/>
            <w:vAlign w:val="center"/>
          </w:tcPr>
          <w:p w14:paraId="0FC93A2F">
            <w:pPr>
              <w:widowControl/>
              <w:spacing w:line="360" w:lineRule="atLeast"/>
              <w:jc w:val="center"/>
              <w:rPr>
                <w:rFonts w:ascii="新宋体" w:hAnsi="新宋体" w:eastAsia="新宋体" w:cs="新宋体"/>
                <w:b/>
                <w:bCs/>
                <w:szCs w:val="21"/>
              </w:rPr>
            </w:pPr>
            <w:r>
              <w:rPr>
                <w:rFonts w:hint="eastAsia" w:ascii="新宋体" w:hAnsi="新宋体" w:eastAsia="新宋体" w:cs="新宋体"/>
                <w:b/>
                <w:bCs/>
                <w:kern w:val="0"/>
                <w:szCs w:val="21"/>
                <w:lang w:bidi="ar"/>
              </w:rPr>
              <w:t>氮气 N₂</w:t>
            </w:r>
          </w:p>
        </w:tc>
        <w:tc>
          <w:tcPr>
            <w:tcW w:w="0" w:type="auto"/>
            <w:shd w:val="clear" w:color="auto" w:fill="auto"/>
            <w:vAlign w:val="center"/>
          </w:tcPr>
          <w:p w14:paraId="35C9C41D">
            <w:pPr>
              <w:widowControl/>
              <w:spacing w:line="360" w:lineRule="atLeast"/>
              <w:jc w:val="center"/>
              <w:rPr>
                <w:rFonts w:ascii="新宋体" w:hAnsi="新宋体" w:eastAsia="新宋体" w:cs="新宋体"/>
                <w:b/>
                <w:bCs/>
                <w:szCs w:val="21"/>
              </w:rPr>
            </w:pPr>
            <w:r>
              <w:rPr>
                <w:rFonts w:hint="eastAsia" w:ascii="新宋体" w:hAnsi="新宋体" w:eastAsia="新宋体" w:cs="新宋体"/>
                <w:b/>
                <w:bCs/>
                <w:kern w:val="0"/>
                <w:szCs w:val="21"/>
                <w:lang w:bidi="ar"/>
              </w:rPr>
              <w:t>氩气 Ar</w:t>
            </w:r>
          </w:p>
        </w:tc>
        <w:tc>
          <w:tcPr>
            <w:tcW w:w="0" w:type="auto"/>
            <w:shd w:val="clear" w:color="auto" w:fill="auto"/>
            <w:vAlign w:val="center"/>
          </w:tcPr>
          <w:p w14:paraId="1875585E">
            <w:pPr>
              <w:widowControl/>
              <w:spacing w:line="360" w:lineRule="atLeast"/>
              <w:jc w:val="center"/>
              <w:rPr>
                <w:rFonts w:ascii="新宋体" w:hAnsi="新宋体" w:eastAsia="新宋体" w:cs="新宋体"/>
                <w:b/>
                <w:bCs/>
                <w:szCs w:val="21"/>
              </w:rPr>
            </w:pPr>
            <w:r>
              <w:rPr>
                <w:rFonts w:hint="eastAsia" w:ascii="新宋体" w:hAnsi="新宋体" w:eastAsia="新宋体" w:cs="新宋体"/>
                <w:b/>
                <w:bCs/>
                <w:kern w:val="0"/>
                <w:szCs w:val="21"/>
                <w:lang w:bidi="ar"/>
              </w:rPr>
              <w:t>氦气 He</w:t>
            </w:r>
          </w:p>
        </w:tc>
      </w:tr>
      <w:tr w14:paraId="28762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15" w:type="dxa"/>
        </w:trPr>
        <w:tc>
          <w:tcPr>
            <w:tcW w:w="0" w:type="auto"/>
            <w:shd w:val="clear" w:color="auto" w:fill="auto"/>
            <w:vAlign w:val="center"/>
          </w:tcPr>
          <w:p w14:paraId="6AC774B1">
            <w:pPr>
              <w:widowControl/>
              <w:spacing w:line="360" w:lineRule="atLeast"/>
              <w:jc w:val="left"/>
              <w:rPr>
                <w:rFonts w:ascii="新宋体" w:hAnsi="新宋体" w:eastAsia="新宋体" w:cs="新宋体"/>
                <w:b/>
                <w:bCs/>
                <w:szCs w:val="21"/>
              </w:rPr>
            </w:pPr>
            <w:r>
              <w:rPr>
                <w:rFonts w:hint="eastAsia" w:ascii="新宋体" w:hAnsi="新宋体" w:eastAsia="新宋体" w:cs="新宋体"/>
                <w:b/>
                <w:bCs/>
                <w:kern w:val="0"/>
                <w:szCs w:val="21"/>
                <w:lang w:bidi="ar"/>
              </w:rPr>
              <w:t>管道材质等级</w:t>
            </w:r>
          </w:p>
        </w:tc>
        <w:tc>
          <w:tcPr>
            <w:tcW w:w="0" w:type="auto"/>
            <w:shd w:val="clear" w:color="auto" w:fill="auto"/>
            <w:vAlign w:val="center"/>
          </w:tcPr>
          <w:p w14:paraId="00D4A590">
            <w:pPr>
              <w:widowControl/>
              <w:spacing w:line="360" w:lineRule="atLeast"/>
              <w:jc w:val="left"/>
              <w:rPr>
                <w:rFonts w:ascii="新宋体" w:hAnsi="新宋体" w:eastAsia="新宋体" w:cs="新宋体"/>
                <w:szCs w:val="21"/>
              </w:rPr>
            </w:pPr>
            <w:r>
              <w:rPr>
                <w:rFonts w:hint="eastAsia" w:ascii="新宋体" w:hAnsi="新宋体" w:eastAsia="新宋体" w:cs="新宋体"/>
                <w:kern w:val="0"/>
                <w:szCs w:val="21"/>
                <w:lang w:bidi="ar"/>
              </w:rPr>
              <w:t>SS316L BA 光亮退火管</w:t>
            </w:r>
          </w:p>
        </w:tc>
        <w:tc>
          <w:tcPr>
            <w:tcW w:w="0" w:type="auto"/>
            <w:shd w:val="clear" w:color="auto" w:fill="auto"/>
            <w:vAlign w:val="center"/>
          </w:tcPr>
          <w:p w14:paraId="78E03124">
            <w:pPr>
              <w:widowControl/>
              <w:spacing w:line="360" w:lineRule="atLeast"/>
              <w:jc w:val="left"/>
              <w:rPr>
                <w:rFonts w:ascii="新宋体" w:hAnsi="新宋体" w:eastAsia="新宋体" w:cs="新宋体"/>
                <w:szCs w:val="21"/>
              </w:rPr>
            </w:pPr>
            <w:r>
              <w:rPr>
                <w:rFonts w:hint="eastAsia" w:ascii="新宋体" w:hAnsi="新宋体" w:eastAsia="新宋体" w:cs="新宋体"/>
                <w:kern w:val="0"/>
                <w:szCs w:val="21"/>
                <w:lang w:bidi="ar"/>
              </w:rPr>
              <w:t>SS316L BA 光亮退火管</w:t>
            </w:r>
          </w:p>
        </w:tc>
        <w:tc>
          <w:tcPr>
            <w:tcW w:w="0" w:type="auto"/>
            <w:shd w:val="clear" w:color="auto" w:fill="auto"/>
            <w:vAlign w:val="center"/>
          </w:tcPr>
          <w:p w14:paraId="4BCA3C3F">
            <w:pPr>
              <w:widowControl/>
              <w:spacing w:line="360" w:lineRule="atLeast"/>
              <w:jc w:val="left"/>
              <w:rPr>
                <w:rFonts w:ascii="新宋体" w:hAnsi="新宋体" w:eastAsia="新宋体" w:cs="新宋体"/>
                <w:szCs w:val="21"/>
              </w:rPr>
            </w:pPr>
            <w:r>
              <w:rPr>
                <w:rFonts w:hint="eastAsia" w:ascii="新宋体" w:hAnsi="新宋体" w:eastAsia="新宋体" w:cs="新宋体"/>
                <w:kern w:val="0"/>
                <w:szCs w:val="21"/>
                <w:lang w:bidi="ar"/>
              </w:rPr>
              <w:t>SS316L EP UHP 超高纯电解抛光管</w:t>
            </w:r>
          </w:p>
        </w:tc>
      </w:tr>
      <w:tr w14:paraId="5A208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15" w:type="dxa"/>
        </w:trPr>
        <w:tc>
          <w:tcPr>
            <w:tcW w:w="0" w:type="auto"/>
            <w:shd w:val="clear" w:color="auto" w:fill="auto"/>
            <w:vAlign w:val="center"/>
          </w:tcPr>
          <w:p w14:paraId="56BCDEF2">
            <w:pPr>
              <w:widowControl/>
              <w:spacing w:line="360" w:lineRule="atLeast"/>
              <w:jc w:val="left"/>
              <w:rPr>
                <w:rFonts w:ascii="新宋体" w:hAnsi="新宋体" w:eastAsia="新宋体" w:cs="新宋体"/>
                <w:b/>
                <w:bCs/>
                <w:szCs w:val="21"/>
              </w:rPr>
            </w:pPr>
            <w:r>
              <w:rPr>
                <w:rFonts w:hint="eastAsia" w:ascii="新宋体" w:hAnsi="新宋体" w:eastAsia="新宋体" w:cs="新宋体"/>
                <w:b/>
                <w:bCs/>
                <w:kern w:val="0"/>
                <w:szCs w:val="21"/>
                <w:lang w:bidi="ar"/>
              </w:rPr>
              <w:t>气源纯度</w:t>
            </w:r>
          </w:p>
        </w:tc>
        <w:tc>
          <w:tcPr>
            <w:tcW w:w="0" w:type="auto"/>
            <w:shd w:val="clear" w:color="auto" w:fill="auto"/>
            <w:vAlign w:val="center"/>
          </w:tcPr>
          <w:p w14:paraId="26C1D523">
            <w:pPr>
              <w:widowControl/>
              <w:spacing w:line="360" w:lineRule="atLeast"/>
              <w:jc w:val="left"/>
              <w:rPr>
                <w:rFonts w:ascii="新宋体" w:hAnsi="新宋体" w:eastAsia="新宋体" w:cs="新宋体"/>
                <w:szCs w:val="21"/>
              </w:rPr>
            </w:pPr>
            <w:r>
              <w:rPr>
                <w:rFonts w:hint="eastAsia" w:ascii="新宋体" w:hAnsi="新宋体" w:eastAsia="新宋体" w:cs="新宋体"/>
                <w:kern w:val="0"/>
                <w:szCs w:val="21"/>
                <w:lang w:bidi="ar"/>
              </w:rPr>
              <w:t>（99.999%）</w:t>
            </w:r>
          </w:p>
        </w:tc>
        <w:tc>
          <w:tcPr>
            <w:tcW w:w="0" w:type="auto"/>
            <w:shd w:val="clear" w:color="auto" w:fill="auto"/>
            <w:vAlign w:val="center"/>
          </w:tcPr>
          <w:p w14:paraId="751A76C7">
            <w:pPr>
              <w:widowControl/>
              <w:spacing w:line="360" w:lineRule="atLeast"/>
              <w:jc w:val="left"/>
              <w:rPr>
                <w:rFonts w:ascii="新宋体" w:hAnsi="新宋体" w:eastAsia="新宋体" w:cs="新宋体"/>
                <w:szCs w:val="21"/>
              </w:rPr>
            </w:pPr>
            <w:r>
              <w:rPr>
                <w:rFonts w:hint="eastAsia" w:ascii="新宋体" w:hAnsi="新宋体" w:eastAsia="新宋体" w:cs="新宋体"/>
                <w:kern w:val="0"/>
                <w:szCs w:val="21"/>
                <w:lang w:bidi="ar"/>
              </w:rPr>
              <w:t>（99.999%）</w:t>
            </w:r>
          </w:p>
        </w:tc>
        <w:tc>
          <w:tcPr>
            <w:tcW w:w="0" w:type="auto"/>
            <w:shd w:val="clear" w:color="auto" w:fill="auto"/>
            <w:vAlign w:val="center"/>
          </w:tcPr>
          <w:p w14:paraId="134BB30C">
            <w:pPr>
              <w:widowControl/>
              <w:spacing w:line="360" w:lineRule="atLeast"/>
              <w:jc w:val="left"/>
              <w:rPr>
                <w:rFonts w:ascii="新宋体" w:hAnsi="新宋体" w:eastAsia="新宋体" w:cs="新宋体"/>
                <w:szCs w:val="21"/>
              </w:rPr>
            </w:pPr>
            <w:r>
              <w:rPr>
                <w:rFonts w:hint="eastAsia" w:ascii="新宋体" w:hAnsi="新宋体" w:eastAsia="新宋体" w:cs="新宋体"/>
                <w:kern w:val="0"/>
                <w:szCs w:val="21"/>
                <w:lang w:bidi="ar"/>
              </w:rPr>
              <w:t>（99.999%）</w:t>
            </w:r>
          </w:p>
        </w:tc>
      </w:tr>
      <w:tr w14:paraId="14C13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15" w:type="dxa"/>
        </w:trPr>
        <w:tc>
          <w:tcPr>
            <w:tcW w:w="0" w:type="auto"/>
            <w:shd w:val="clear" w:color="auto" w:fill="auto"/>
            <w:vAlign w:val="center"/>
          </w:tcPr>
          <w:p w14:paraId="2CADD3BE">
            <w:pPr>
              <w:widowControl/>
              <w:spacing w:line="360" w:lineRule="atLeast"/>
              <w:jc w:val="left"/>
              <w:rPr>
                <w:rFonts w:ascii="新宋体" w:hAnsi="新宋体" w:eastAsia="新宋体" w:cs="新宋体"/>
                <w:b/>
                <w:bCs/>
                <w:szCs w:val="21"/>
              </w:rPr>
            </w:pPr>
            <w:r>
              <w:rPr>
                <w:rFonts w:hint="eastAsia" w:ascii="新宋体" w:hAnsi="新宋体" w:eastAsia="新宋体" w:cs="新宋体"/>
                <w:b/>
                <w:bCs/>
                <w:kern w:val="0"/>
                <w:szCs w:val="21"/>
                <w:lang w:bidi="ar"/>
              </w:rPr>
              <w:t>终端密封接头</w:t>
            </w:r>
          </w:p>
        </w:tc>
        <w:tc>
          <w:tcPr>
            <w:tcW w:w="0" w:type="auto"/>
            <w:shd w:val="clear" w:color="auto" w:fill="auto"/>
            <w:vAlign w:val="center"/>
          </w:tcPr>
          <w:p w14:paraId="23A0F6DE">
            <w:pPr>
              <w:widowControl/>
              <w:spacing w:line="360" w:lineRule="atLeast"/>
              <w:jc w:val="left"/>
              <w:rPr>
                <w:rFonts w:ascii="新宋体" w:hAnsi="新宋体" w:eastAsia="新宋体" w:cs="新宋体"/>
                <w:szCs w:val="21"/>
              </w:rPr>
            </w:pPr>
            <w:r>
              <w:rPr>
                <w:rFonts w:hint="eastAsia" w:ascii="新宋体" w:hAnsi="新宋体" w:eastAsia="新宋体" w:cs="新宋体"/>
                <w:kern w:val="0"/>
                <w:szCs w:val="21"/>
                <w:lang w:bidi="ar"/>
              </w:rPr>
              <w:t>双卡套密封</w:t>
            </w:r>
          </w:p>
        </w:tc>
        <w:tc>
          <w:tcPr>
            <w:tcW w:w="0" w:type="auto"/>
            <w:shd w:val="clear" w:color="auto" w:fill="auto"/>
            <w:vAlign w:val="center"/>
          </w:tcPr>
          <w:p w14:paraId="712B6A21">
            <w:pPr>
              <w:widowControl/>
              <w:spacing w:line="360" w:lineRule="atLeast"/>
              <w:jc w:val="left"/>
              <w:rPr>
                <w:rFonts w:ascii="新宋体" w:hAnsi="新宋体" w:eastAsia="新宋体" w:cs="新宋体"/>
                <w:szCs w:val="21"/>
              </w:rPr>
            </w:pPr>
            <w:r>
              <w:rPr>
                <w:rFonts w:hint="eastAsia" w:ascii="新宋体" w:hAnsi="新宋体" w:eastAsia="新宋体" w:cs="新宋体"/>
                <w:kern w:val="0"/>
                <w:szCs w:val="21"/>
                <w:lang w:bidi="ar"/>
              </w:rPr>
              <w:t>双卡套密封</w:t>
            </w:r>
          </w:p>
        </w:tc>
        <w:tc>
          <w:tcPr>
            <w:tcW w:w="0" w:type="auto"/>
            <w:shd w:val="clear" w:color="auto" w:fill="auto"/>
            <w:vAlign w:val="center"/>
          </w:tcPr>
          <w:p w14:paraId="299358C5">
            <w:pPr>
              <w:widowControl/>
              <w:spacing w:line="360" w:lineRule="atLeast"/>
              <w:jc w:val="left"/>
              <w:rPr>
                <w:rFonts w:ascii="新宋体" w:hAnsi="新宋体" w:eastAsia="新宋体" w:cs="新宋体"/>
                <w:szCs w:val="21"/>
              </w:rPr>
            </w:pPr>
            <w:r>
              <w:rPr>
                <w:rFonts w:hint="eastAsia" w:ascii="新宋体" w:hAnsi="新宋体" w:eastAsia="新宋体" w:cs="新宋体"/>
                <w:kern w:val="0"/>
                <w:szCs w:val="21"/>
                <w:lang w:bidi="ar"/>
              </w:rPr>
              <w:t>全 VCR 金属硬密封</w:t>
            </w:r>
          </w:p>
        </w:tc>
      </w:tr>
      <w:tr w14:paraId="43D1B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15" w:type="dxa"/>
        </w:trPr>
        <w:tc>
          <w:tcPr>
            <w:tcW w:w="0" w:type="auto"/>
            <w:shd w:val="clear" w:color="auto" w:fill="auto"/>
            <w:vAlign w:val="center"/>
          </w:tcPr>
          <w:p w14:paraId="5449703C">
            <w:pPr>
              <w:widowControl/>
              <w:spacing w:line="360" w:lineRule="atLeast"/>
              <w:jc w:val="left"/>
              <w:rPr>
                <w:rFonts w:ascii="新宋体" w:hAnsi="新宋体" w:eastAsia="新宋体" w:cs="新宋体"/>
                <w:b/>
                <w:bCs/>
                <w:szCs w:val="21"/>
              </w:rPr>
            </w:pPr>
            <w:r>
              <w:rPr>
                <w:rFonts w:hint="eastAsia" w:ascii="新宋体" w:hAnsi="新宋体" w:eastAsia="新宋体" w:cs="新宋体"/>
                <w:b/>
                <w:bCs/>
                <w:kern w:val="0"/>
                <w:szCs w:val="21"/>
                <w:lang w:bidi="ar"/>
              </w:rPr>
              <w:t>系统整体漏率</w:t>
            </w:r>
          </w:p>
        </w:tc>
        <w:tc>
          <w:tcPr>
            <w:tcW w:w="0" w:type="auto"/>
            <w:shd w:val="clear" w:color="auto" w:fill="auto"/>
            <w:vAlign w:val="center"/>
          </w:tcPr>
          <w:p w14:paraId="2063883D">
            <w:pPr>
              <w:widowControl/>
              <w:spacing w:line="360" w:lineRule="atLeast"/>
              <w:jc w:val="left"/>
              <w:rPr>
                <w:rFonts w:ascii="新宋体" w:hAnsi="新宋体" w:eastAsia="新宋体" w:cs="新宋体"/>
                <w:szCs w:val="21"/>
              </w:rPr>
            </w:pPr>
            <w:r>
              <w:rPr>
                <w:rFonts w:hint="eastAsia" w:ascii="新宋体" w:hAnsi="新宋体" w:eastAsia="新宋体" w:cs="新宋体"/>
                <w:kern w:val="0"/>
                <w:szCs w:val="21"/>
                <w:lang w:bidi="ar"/>
              </w:rPr>
              <w:t>≤1×10⁻⁶ Pa·m³/s</w:t>
            </w:r>
          </w:p>
        </w:tc>
        <w:tc>
          <w:tcPr>
            <w:tcW w:w="0" w:type="auto"/>
            <w:shd w:val="clear" w:color="auto" w:fill="auto"/>
            <w:vAlign w:val="center"/>
          </w:tcPr>
          <w:p w14:paraId="256E48DB">
            <w:pPr>
              <w:widowControl/>
              <w:spacing w:line="360" w:lineRule="atLeast"/>
              <w:jc w:val="left"/>
              <w:rPr>
                <w:rFonts w:ascii="新宋体" w:hAnsi="新宋体" w:eastAsia="新宋体" w:cs="新宋体"/>
                <w:szCs w:val="21"/>
              </w:rPr>
            </w:pPr>
            <w:r>
              <w:rPr>
                <w:rFonts w:hint="eastAsia" w:ascii="新宋体" w:hAnsi="新宋体" w:eastAsia="新宋体" w:cs="新宋体"/>
                <w:kern w:val="0"/>
                <w:szCs w:val="21"/>
                <w:lang w:bidi="ar"/>
              </w:rPr>
              <w:t>≤1×10⁻⁶ Pa·m³/s</w:t>
            </w:r>
          </w:p>
        </w:tc>
        <w:tc>
          <w:tcPr>
            <w:tcW w:w="0" w:type="auto"/>
            <w:shd w:val="clear" w:color="auto" w:fill="auto"/>
            <w:vAlign w:val="center"/>
          </w:tcPr>
          <w:p w14:paraId="12EDB1FC">
            <w:pPr>
              <w:widowControl/>
              <w:spacing w:line="360" w:lineRule="atLeast"/>
              <w:jc w:val="left"/>
              <w:rPr>
                <w:rFonts w:ascii="新宋体" w:hAnsi="新宋体" w:eastAsia="新宋体" w:cs="新宋体"/>
                <w:szCs w:val="21"/>
              </w:rPr>
            </w:pPr>
            <w:r>
              <w:rPr>
                <w:rFonts w:hint="eastAsia" w:ascii="新宋体" w:hAnsi="新宋体" w:eastAsia="新宋体" w:cs="新宋体"/>
                <w:kern w:val="0"/>
                <w:szCs w:val="21"/>
                <w:lang w:bidi="ar"/>
              </w:rPr>
              <w:t>≤1×10⁻⁸ Pa·m³/s</w:t>
            </w:r>
          </w:p>
        </w:tc>
      </w:tr>
      <w:tr w14:paraId="6EA6C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15" w:type="dxa"/>
        </w:trPr>
        <w:tc>
          <w:tcPr>
            <w:tcW w:w="0" w:type="auto"/>
            <w:shd w:val="clear" w:color="auto" w:fill="auto"/>
            <w:vAlign w:val="center"/>
          </w:tcPr>
          <w:p w14:paraId="600F5AB9">
            <w:pPr>
              <w:widowControl/>
              <w:spacing w:line="360" w:lineRule="atLeast"/>
              <w:jc w:val="left"/>
              <w:rPr>
                <w:rFonts w:ascii="新宋体" w:hAnsi="新宋体" w:eastAsia="新宋体" w:cs="新宋体"/>
                <w:b/>
                <w:bCs/>
                <w:szCs w:val="21"/>
              </w:rPr>
            </w:pPr>
            <w:r>
              <w:rPr>
                <w:rFonts w:hint="eastAsia" w:ascii="新宋体" w:hAnsi="新宋体" w:eastAsia="新宋体" w:cs="新宋体"/>
                <w:b/>
                <w:bCs/>
                <w:kern w:val="0"/>
                <w:szCs w:val="21"/>
                <w:lang w:bidi="ar"/>
              </w:rPr>
              <w:t>系统保压验收时长</w:t>
            </w:r>
          </w:p>
        </w:tc>
        <w:tc>
          <w:tcPr>
            <w:tcW w:w="0" w:type="auto"/>
            <w:shd w:val="clear" w:color="auto" w:fill="auto"/>
            <w:vAlign w:val="center"/>
          </w:tcPr>
          <w:p w14:paraId="48185229">
            <w:pPr>
              <w:widowControl/>
              <w:spacing w:line="360" w:lineRule="atLeast"/>
              <w:jc w:val="left"/>
              <w:rPr>
                <w:rFonts w:ascii="新宋体" w:hAnsi="新宋体" w:eastAsia="新宋体" w:cs="新宋体"/>
                <w:szCs w:val="21"/>
              </w:rPr>
            </w:pPr>
            <w:r>
              <w:rPr>
                <w:rFonts w:hint="eastAsia" w:ascii="新宋体" w:hAnsi="新宋体" w:eastAsia="新宋体" w:cs="新宋体"/>
                <w:kern w:val="0"/>
                <w:szCs w:val="21"/>
                <w:lang w:bidi="ar"/>
              </w:rPr>
              <w:t>24h</w:t>
            </w:r>
          </w:p>
        </w:tc>
        <w:tc>
          <w:tcPr>
            <w:tcW w:w="0" w:type="auto"/>
            <w:shd w:val="clear" w:color="auto" w:fill="auto"/>
            <w:vAlign w:val="center"/>
          </w:tcPr>
          <w:p w14:paraId="6814B866">
            <w:pPr>
              <w:widowControl/>
              <w:spacing w:line="360" w:lineRule="atLeast"/>
              <w:jc w:val="left"/>
              <w:rPr>
                <w:rFonts w:ascii="新宋体" w:hAnsi="新宋体" w:eastAsia="新宋体" w:cs="新宋体"/>
                <w:szCs w:val="21"/>
              </w:rPr>
            </w:pPr>
            <w:r>
              <w:rPr>
                <w:rFonts w:hint="eastAsia" w:ascii="新宋体" w:hAnsi="新宋体" w:eastAsia="新宋体" w:cs="新宋体"/>
                <w:kern w:val="0"/>
                <w:szCs w:val="21"/>
                <w:lang w:bidi="ar"/>
              </w:rPr>
              <w:t>24h</w:t>
            </w:r>
          </w:p>
        </w:tc>
        <w:tc>
          <w:tcPr>
            <w:tcW w:w="0" w:type="auto"/>
            <w:shd w:val="clear" w:color="auto" w:fill="auto"/>
            <w:vAlign w:val="center"/>
          </w:tcPr>
          <w:p w14:paraId="7DF30229">
            <w:pPr>
              <w:widowControl/>
              <w:spacing w:line="360" w:lineRule="atLeast"/>
              <w:jc w:val="left"/>
              <w:rPr>
                <w:rFonts w:ascii="新宋体" w:hAnsi="新宋体" w:eastAsia="新宋体" w:cs="新宋体"/>
                <w:szCs w:val="21"/>
              </w:rPr>
            </w:pPr>
            <w:r>
              <w:rPr>
                <w:rFonts w:hint="eastAsia" w:ascii="新宋体" w:hAnsi="新宋体" w:eastAsia="新宋体" w:cs="新宋体"/>
                <w:kern w:val="0"/>
                <w:szCs w:val="21"/>
                <w:lang w:bidi="ar"/>
              </w:rPr>
              <w:t>72h</w:t>
            </w:r>
          </w:p>
        </w:tc>
      </w:tr>
    </w:tbl>
    <w:p w14:paraId="0F5FBB26">
      <w:pPr>
        <w:pStyle w:val="4"/>
        <w:widowControl/>
        <w:spacing w:beforeAutospacing="0" w:afterAutospacing="0" w:line="360" w:lineRule="atLeast"/>
        <w:rPr>
          <w:rFonts w:hint="default" w:ascii="新宋体" w:hAnsi="新宋体" w:eastAsia="新宋体" w:cs="新宋体"/>
          <w:b w:val="0"/>
          <w:bCs w:val="0"/>
          <w:sz w:val="21"/>
          <w:szCs w:val="21"/>
        </w:rPr>
      </w:pPr>
      <w:r>
        <w:rPr>
          <w:rFonts w:ascii="新宋体" w:hAnsi="新宋体" w:eastAsia="新宋体" w:cs="新宋体"/>
          <w:b w:val="0"/>
          <w:bCs w:val="0"/>
          <w:sz w:val="21"/>
          <w:szCs w:val="21"/>
        </w:rPr>
        <w:t>5.1 管路色标标识规范：氮气（N₂）：管路粘贴</w:t>
      </w:r>
      <w:r>
        <w:rPr>
          <w:rFonts w:ascii="新宋体" w:hAnsi="新宋体" w:eastAsia="新宋体" w:cs="新宋体"/>
          <w:sz w:val="21"/>
          <w:szCs w:val="21"/>
        </w:rPr>
        <w:t>淡黄色</w:t>
      </w:r>
      <w:r>
        <w:rPr>
          <w:rFonts w:ascii="新宋体" w:hAnsi="新宋体" w:eastAsia="新宋体" w:cs="新宋体"/>
          <w:b w:val="0"/>
          <w:bCs w:val="0"/>
          <w:sz w:val="21"/>
          <w:szCs w:val="21"/>
        </w:rPr>
        <w:t>专用气体标识；氩气（Ar）：管路粘贴</w:t>
      </w:r>
      <w:r>
        <w:rPr>
          <w:rFonts w:ascii="新宋体" w:hAnsi="新宋体" w:eastAsia="新宋体" w:cs="新宋体"/>
          <w:sz w:val="21"/>
          <w:szCs w:val="21"/>
        </w:rPr>
        <w:t>银灰色</w:t>
      </w:r>
      <w:r>
        <w:rPr>
          <w:rFonts w:ascii="新宋体" w:hAnsi="新宋体" w:eastAsia="新宋体" w:cs="新宋体"/>
          <w:b w:val="0"/>
          <w:bCs w:val="0"/>
          <w:sz w:val="21"/>
          <w:szCs w:val="21"/>
        </w:rPr>
        <w:t>专用气体标识；氦气（He）：管路粘贴</w:t>
      </w:r>
      <w:r>
        <w:rPr>
          <w:rFonts w:ascii="新宋体" w:hAnsi="新宋体" w:eastAsia="新宋体" w:cs="新宋体"/>
          <w:sz w:val="21"/>
          <w:szCs w:val="21"/>
        </w:rPr>
        <w:t>银灰色</w:t>
      </w:r>
      <w:r>
        <w:rPr>
          <w:rFonts w:ascii="新宋体" w:hAnsi="新宋体" w:eastAsia="新宋体" w:cs="新宋体"/>
          <w:b w:val="0"/>
          <w:bCs w:val="0"/>
          <w:sz w:val="21"/>
          <w:szCs w:val="21"/>
        </w:rPr>
        <w:t>专用气体标识。</w:t>
      </w:r>
    </w:p>
    <w:p w14:paraId="669B4DAF"/>
    <w:p w14:paraId="6F002B35">
      <w:pPr>
        <w:pStyle w:val="4"/>
        <w:widowControl/>
        <w:spacing w:beforeAutospacing="0" w:afterAutospacing="0" w:line="360" w:lineRule="atLeast"/>
        <w:rPr>
          <w:rFonts w:hint="default" w:ascii="新宋体" w:hAnsi="新宋体" w:eastAsia="新宋体" w:cs="新宋体"/>
          <w:b w:val="0"/>
          <w:bCs w:val="0"/>
          <w:sz w:val="21"/>
          <w:szCs w:val="21"/>
        </w:rPr>
      </w:pPr>
      <w:r>
        <w:rPr>
          <w:rFonts w:ascii="新宋体" w:hAnsi="新宋体" w:eastAsia="新宋体" w:cs="新宋体"/>
          <w:b w:val="0"/>
          <w:bCs w:val="0"/>
          <w:sz w:val="21"/>
          <w:szCs w:val="21"/>
        </w:rPr>
        <w:t>5.2 系统压力设计标准：全楼三层供气主管统一设计压力：0.8MPa（8bar）；汇流排一级调压输出区间：0.6~0.8MPa，满足全楼多终端同步用气无明显压降；管路、低压球阀、焊接管件额定耐压≥1.6MPa，预留 1.5 倍设计压力安全冗余。</w:t>
      </w:r>
    </w:p>
    <w:p w14:paraId="74867B06"/>
    <w:p w14:paraId="662A8F3C">
      <w:pPr>
        <w:pStyle w:val="3"/>
        <w:widowControl/>
        <w:numPr>
          <w:ilvl w:val="0"/>
          <w:numId w:val="2"/>
        </w:numPr>
        <w:spacing w:beforeAutospacing="0" w:afterAutospacing="0" w:line="360" w:lineRule="atLeast"/>
        <w:rPr>
          <w:rFonts w:hint="default" w:ascii="新宋体" w:hAnsi="新宋体" w:eastAsia="新宋体" w:cs="新宋体"/>
          <w:b w:val="0"/>
          <w:bCs w:val="0"/>
          <w:sz w:val="21"/>
          <w:szCs w:val="21"/>
          <w:highlight w:val="yellow"/>
        </w:rPr>
      </w:pPr>
      <w:r>
        <w:rPr>
          <w:rFonts w:ascii="新宋体" w:hAnsi="新宋体" w:eastAsia="新宋体" w:cs="新宋体"/>
          <w:b w:val="0"/>
          <w:bCs w:val="0"/>
          <w:sz w:val="21"/>
          <w:szCs w:val="21"/>
          <w:highlight w:val="yellow"/>
        </w:rPr>
        <w:t>以下为验收标准，并要求施工完毕之后逐一验收检查</w:t>
      </w:r>
    </w:p>
    <w:p w14:paraId="09C5ECF5"/>
    <w:p w14:paraId="092025A9">
      <w:pPr>
        <w:pStyle w:val="4"/>
        <w:widowControl/>
        <w:spacing w:beforeAutospacing="0" w:afterAutospacing="0" w:line="360" w:lineRule="atLeast"/>
        <w:rPr>
          <w:rFonts w:hint="default" w:ascii="新宋体" w:hAnsi="新宋体" w:eastAsia="新宋体" w:cs="新宋体"/>
          <w:b w:val="0"/>
          <w:bCs w:val="0"/>
          <w:sz w:val="21"/>
          <w:szCs w:val="21"/>
        </w:rPr>
      </w:pPr>
      <w:r>
        <w:rPr>
          <w:rFonts w:ascii="新宋体" w:hAnsi="新宋体" w:eastAsia="新宋体" w:cs="新宋体"/>
          <w:b w:val="0"/>
          <w:bCs w:val="0"/>
          <w:sz w:val="21"/>
          <w:szCs w:val="21"/>
        </w:rPr>
        <w:t>6.1 前期设计与进场检验</w:t>
      </w:r>
    </w:p>
    <w:p w14:paraId="31516FC7">
      <w:pPr>
        <w:widowControl/>
        <w:spacing w:line="360" w:lineRule="atLeast"/>
        <w:rPr>
          <w:rFonts w:ascii="新宋体" w:hAnsi="新宋体" w:eastAsia="新宋体" w:cs="新宋体"/>
          <w:szCs w:val="21"/>
        </w:rPr>
      </w:pPr>
      <w:r>
        <w:rPr>
          <w:rFonts w:hint="eastAsia" w:ascii="新宋体" w:hAnsi="新宋体" w:eastAsia="新宋体" w:cs="新宋体"/>
          <w:szCs w:val="21"/>
        </w:rPr>
        <w:t>一、</w:t>
      </w:r>
      <w:r>
        <w:rPr>
          <w:rFonts w:hint="eastAsia" w:ascii="新宋体" w:hAnsi="新宋体" w:eastAsia="新宋体" w:cs="新宋体"/>
          <w:szCs w:val="21"/>
          <w:lang w:val="en-US" w:eastAsia="zh-CN"/>
        </w:rPr>
        <w:t>甲方</w:t>
      </w:r>
      <w:r>
        <w:rPr>
          <w:rFonts w:hint="eastAsia" w:ascii="新宋体" w:hAnsi="新宋体" w:eastAsia="新宋体" w:cs="新宋体"/>
          <w:szCs w:val="21"/>
        </w:rPr>
        <w:t>签订合同后 3 个工作日内提交完整成套施工设计方案，包含管路走向图、气瓶房布局图、支架布置图、报警系统接线图、试压吹扫方案，经</w:t>
      </w:r>
      <w:r>
        <w:rPr>
          <w:rFonts w:hint="eastAsia" w:ascii="新宋体" w:hAnsi="新宋体" w:eastAsia="新宋体" w:cs="新宋体"/>
          <w:szCs w:val="21"/>
          <w:lang w:val="en-US" w:eastAsia="zh-CN"/>
        </w:rPr>
        <w:t>甲方</w:t>
      </w:r>
      <w:r>
        <w:rPr>
          <w:rFonts w:hint="eastAsia" w:ascii="新宋体" w:hAnsi="新宋体" w:eastAsia="新宋体" w:cs="新宋体"/>
          <w:szCs w:val="21"/>
        </w:rPr>
        <w:t>审核通过后方可进场；</w:t>
      </w:r>
    </w:p>
    <w:p w14:paraId="1C3A05A7">
      <w:pPr>
        <w:widowControl/>
        <w:spacing w:line="360" w:lineRule="atLeast"/>
        <w:rPr>
          <w:rFonts w:ascii="新宋体" w:hAnsi="新宋体" w:eastAsia="新宋体" w:cs="新宋体"/>
          <w:szCs w:val="21"/>
        </w:rPr>
      </w:pPr>
    </w:p>
    <w:p w14:paraId="78F7A1C5">
      <w:pPr>
        <w:widowControl/>
        <w:numPr>
          <w:ilvl w:val="0"/>
          <w:numId w:val="3"/>
        </w:numPr>
        <w:spacing w:line="360" w:lineRule="atLeast"/>
        <w:rPr>
          <w:rFonts w:ascii="新宋体" w:hAnsi="新宋体" w:eastAsia="新宋体" w:cs="新宋体"/>
          <w:szCs w:val="21"/>
        </w:rPr>
      </w:pPr>
      <w:r>
        <w:rPr>
          <w:rFonts w:hint="eastAsia" w:ascii="新宋体" w:hAnsi="新宋体" w:eastAsia="新宋体" w:cs="新宋体"/>
          <w:szCs w:val="21"/>
        </w:rPr>
        <w:t>所有管材、阀门、管件进场核验型号、规格、原厂合格证、材质证明；管材外观无裂纹、锈斑、夹渣、褶皱、起皮、麻点等缺陷，不合格物料禁止使用。</w:t>
      </w:r>
    </w:p>
    <w:p w14:paraId="4F05F50E">
      <w:pPr>
        <w:widowControl/>
        <w:spacing w:line="360" w:lineRule="atLeast"/>
        <w:rPr>
          <w:rFonts w:ascii="新宋体" w:hAnsi="新宋体" w:eastAsia="新宋体" w:cs="新宋体"/>
          <w:szCs w:val="21"/>
        </w:rPr>
      </w:pPr>
    </w:p>
    <w:p w14:paraId="329708E8">
      <w:pPr>
        <w:pStyle w:val="4"/>
        <w:widowControl/>
        <w:spacing w:beforeAutospacing="0" w:afterAutospacing="0" w:line="360" w:lineRule="atLeast"/>
        <w:rPr>
          <w:rFonts w:hint="default" w:ascii="新宋体" w:hAnsi="新宋体" w:eastAsia="新宋体" w:cs="新宋体"/>
          <w:b w:val="0"/>
          <w:bCs w:val="0"/>
          <w:sz w:val="21"/>
          <w:szCs w:val="21"/>
        </w:rPr>
      </w:pPr>
      <w:r>
        <w:rPr>
          <w:rFonts w:ascii="新宋体" w:hAnsi="新宋体" w:eastAsia="新宋体" w:cs="新宋体"/>
          <w:b w:val="0"/>
          <w:bCs w:val="0"/>
          <w:sz w:val="21"/>
          <w:szCs w:val="21"/>
        </w:rPr>
        <w:t>6.2 洁净脱脂预处理要求：</w:t>
      </w:r>
    </w:p>
    <w:p w14:paraId="3C46DC58">
      <w:pPr>
        <w:pStyle w:val="4"/>
        <w:widowControl/>
        <w:spacing w:beforeAutospacing="0" w:afterAutospacing="0" w:line="360" w:lineRule="atLeast"/>
        <w:rPr>
          <w:rFonts w:ascii="新宋体" w:hAnsi="新宋体" w:eastAsia="新宋体" w:cs="新宋体"/>
          <w:b w:val="0"/>
          <w:bCs w:val="0"/>
          <w:sz w:val="21"/>
          <w:szCs w:val="21"/>
          <w:lang w:bidi="ar"/>
        </w:rPr>
      </w:pPr>
      <w:r>
        <w:rPr>
          <w:rFonts w:ascii="新宋体" w:hAnsi="新宋体" w:eastAsia="新宋体" w:cs="新宋体"/>
          <w:b w:val="0"/>
          <w:bCs w:val="0"/>
          <w:sz w:val="21"/>
          <w:szCs w:val="21"/>
        </w:rPr>
        <w:t xml:space="preserve">1. </w:t>
      </w:r>
      <w:r>
        <w:rPr>
          <w:rFonts w:ascii="新宋体" w:hAnsi="新宋体" w:eastAsia="新宋体" w:cs="新宋体"/>
          <w:b w:val="0"/>
          <w:bCs w:val="0"/>
          <w:sz w:val="21"/>
          <w:szCs w:val="21"/>
          <w:lang w:bidi="ar"/>
        </w:rPr>
        <w:t>全部接触工艺气体的管道、阀门、管件进场前完成统一脱脂洁净处理；</w:t>
      </w:r>
    </w:p>
    <w:p w14:paraId="15C15D82">
      <w:pPr>
        <w:pStyle w:val="4"/>
        <w:widowControl/>
        <w:spacing w:beforeAutospacing="0" w:afterAutospacing="0" w:line="360" w:lineRule="atLeast"/>
        <w:rPr>
          <w:rFonts w:ascii="新宋体" w:hAnsi="新宋体" w:eastAsia="新宋体" w:cs="新宋体"/>
          <w:b w:val="0"/>
          <w:bCs w:val="0"/>
          <w:sz w:val="21"/>
          <w:szCs w:val="21"/>
          <w:lang w:bidi="ar"/>
        </w:rPr>
      </w:pPr>
      <w:r>
        <w:rPr>
          <w:rFonts w:ascii="新宋体" w:hAnsi="新宋体" w:eastAsia="新宋体" w:cs="新宋体"/>
          <w:b w:val="0"/>
          <w:bCs w:val="0"/>
          <w:sz w:val="21"/>
          <w:szCs w:val="21"/>
          <w:lang w:bidi="ar"/>
        </w:rPr>
        <w:t>2. 彻底清除内壁毛刺、焊渣、油污、铁锈、颗粒物、可燃物；</w:t>
      </w:r>
    </w:p>
    <w:p w14:paraId="362D0138">
      <w:pPr>
        <w:pStyle w:val="4"/>
        <w:widowControl/>
        <w:spacing w:beforeAutospacing="0" w:afterAutospacing="0" w:line="360" w:lineRule="atLeast"/>
        <w:rPr>
          <w:rFonts w:hint="default" w:ascii="新宋体" w:hAnsi="新宋体" w:eastAsia="新宋体" w:cs="新宋体"/>
          <w:b w:val="0"/>
          <w:bCs w:val="0"/>
          <w:sz w:val="21"/>
          <w:szCs w:val="21"/>
          <w:lang w:bidi="ar"/>
        </w:rPr>
      </w:pPr>
      <w:r>
        <w:rPr>
          <w:rFonts w:ascii="新宋体" w:hAnsi="新宋体" w:eastAsia="新宋体" w:cs="新宋体"/>
          <w:b w:val="0"/>
          <w:bCs w:val="0"/>
          <w:sz w:val="21"/>
          <w:szCs w:val="21"/>
          <w:lang w:bidi="ar"/>
        </w:rPr>
        <w:t>3. 阀体内密封垫片禁用易掉屑、纤维类、可燃材质，保证管路内壁光滑洁净。</w:t>
      </w:r>
    </w:p>
    <w:p w14:paraId="779495A3"/>
    <w:p w14:paraId="1A3D7552">
      <w:pPr>
        <w:pStyle w:val="4"/>
        <w:widowControl/>
        <w:spacing w:beforeAutospacing="0" w:afterAutospacing="0" w:line="360" w:lineRule="atLeast"/>
        <w:rPr>
          <w:rFonts w:hint="default" w:ascii="新宋体" w:hAnsi="新宋体" w:eastAsia="新宋体" w:cs="新宋体"/>
          <w:b w:val="0"/>
          <w:bCs w:val="0"/>
          <w:sz w:val="21"/>
          <w:szCs w:val="21"/>
        </w:rPr>
      </w:pPr>
      <w:r>
        <w:rPr>
          <w:rFonts w:ascii="新宋体" w:hAnsi="新宋体" w:eastAsia="新宋体" w:cs="新宋体"/>
          <w:b w:val="0"/>
          <w:bCs w:val="0"/>
          <w:sz w:val="21"/>
          <w:szCs w:val="21"/>
        </w:rPr>
        <w:t>6.3 管道加工、焊接与安装规范</w:t>
      </w:r>
    </w:p>
    <w:p w14:paraId="42CA7BDE">
      <w:pPr>
        <w:widowControl/>
        <w:spacing w:line="360" w:lineRule="atLeast"/>
        <w:rPr>
          <w:rFonts w:ascii="新宋体" w:hAnsi="新宋体" w:eastAsia="新宋体" w:cs="新宋体"/>
          <w:szCs w:val="21"/>
        </w:rPr>
      </w:pPr>
      <w:r>
        <w:rPr>
          <w:rFonts w:hint="eastAsia" w:ascii="新宋体" w:hAnsi="新宋体" w:eastAsia="新宋体" w:cs="新宋体"/>
          <w:szCs w:val="21"/>
        </w:rPr>
        <w:t>1. 管道弯管最小弯曲半径≥5DN；</w:t>
      </w:r>
    </w:p>
    <w:p w14:paraId="6CFECC83">
      <w:pPr>
        <w:widowControl/>
        <w:spacing w:line="360" w:lineRule="atLeast"/>
        <w:rPr>
          <w:rFonts w:ascii="新宋体" w:hAnsi="新宋体" w:eastAsia="新宋体" w:cs="新宋体"/>
          <w:szCs w:val="21"/>
        </w:rPr>
      </w:pPr>
      <w:r>
        <w:rPr>
          <w:rFonts w:hint="eastAsia" w:ascii="新宋体" w:hAnsi="新宋体" w:eastAsia="新宋体" w:cs="新宋体"/>
          <w:szCs w:val="21"/>
        </w:rPr>
        <w:t>2. 管路对接统一采用全自动数字轨道洁净焊接，全程无尘作业，杜绝杂质污染高纯气源；</w:t>
      </w:r>
    </w:p>
    <w:p w14:paraId="05F8A7C4">
      <w:pPr>
        <w:widowControl/>
        <w:spacing w:line="360" w:lineRule="atLeast"/>
        <w:rPr>
          <w:rFonts w:ascii="新宋体" w:hAnsi="新宋体" w:eastAsia="新宋体" w:cs="新宋体"/>
          <w:szCs w:val="21"/>
          <w:highlight w:val="none"/>
        </w:rPr>
      </w:pPr>
      <w:r>
        <w:rPr>
          <w:rFonts w:hint="eastAsia" w:ascii="新宋体" w:hAnsi="新宋体" w:eastAsia="新宋体" w:cs="新宋体"/>
          <w:szCs w:val="21"/>
          <w:highlight w:val="none"/>
        </w:rPr>
        <w:t>3. 管路布局要求：一、二、三楼走廊所有气体管道全部位于吊顶上方或与吊顶并行布置确保走廊天花的整体美观度；</w:t>
      </w:r>
    </w:p>
    <w:p w14:paraId="2F48CC84">
      <w:pPr>
        <w:widowControl/>
        <w:spacing w:line="360" w:lineRule="atLeast"/>
        <w:rPr>
          <w:rFonts w:ascii="新宋体" w:hAnsi="新宋体" w:eastAsia="新宋体" w:cs="新宋体"/>
          <w:szCs w:val="21"/>
        </w:rPr>
      </w:pPr>
      <w:r>
        <w:rPr>
          <w:rFonts w:hint="eastAsia" w:ascii="新宋体" w:hAnsi="新宋体" w:eastAsia="新宋体" w:cs="新宋体"/>
          <w:szCs w:val="21"/>
        </w:rPr>
        <w:t>4. 每路气体支管在设备前端设置独立控制点，配套切断球阀 + 二级调压阀，可单独切断单台设备气源，便于检修、应急关断；</w:t>
      </w:r>
    </w:p>
    <w:p w14:paraId="16DAB447">
      <w:pPr>
        <w:widowControl/>
        <w:spacing w:line="360" w:lineRule="atLeast"/>
        <w:rPr>
          <w:rFonts w:ascii="新宋体" w:hAnsi="新宋体" w:eastAsia="新宋体" w:cs="新宋体"/>
          <w:szCs w:val="21"/>
        </w:rPr>
      </w:pPr>
      <w:r>
        <w:rPr>
          <w:rFonts w:hint="eastAsia" w:ascii="新宋体" w:hAnsi="新宋体" w:eastAsia="新宋体" w:cs="新宋体"/>
          <w:szCs w:val="21"/>
        </w:rPr>
        <w:t>5. 管路每间隔 3 米粘贴清晰永久性标识，标注气体种类、介质流向；</w:t>
      </w:r>
    </w:p>
    <w:p w14:paraId="5F42D6D7">
      <w:pPr>
        <w:widowControl/>
        <w:spacing w:line="360" w:lineRule="atLeast"/>
        <w:rPr>
          <w:rFonts w:ascii="新宋体" w:hAnsi="新宋体" w:eastAsia="新宋体" w:cs="新宋体"/>
          <w:szCs w:val="21"/>
        </w:rPr>
      </w:pPr>
      <w:r>
        <w:rPr>
          <w:rFonts w:hint="eastAsia" w:ascii="新宋体" w:hAnsi="新宋体" w:eastAsia="新宋体" w:cs="新宋体"/>
          <w:szCs w:val="21"/>
        </w:rPr>
        <w:t>6. 管道配套专用金属托架固定于墙体、吊顶，托架间距严格匹配管道管径规范，管路无悬空、下垂变形。</w:t>
      </w:r>
    </w:p>
    <w:p w14:paraId="2238E826">
      <w:pPr>
        <w:widowControl/>
        <w:spacing w:line="360" w:lineRule="atLeast"/>
        <w:rPr>
          <w:rFonts w:ascii="新宋体" w:hAnsi="新宋体" w:eastAsia="新宋体" w:cs="新宋体"/>
          <w:szCs w:val="21"/>
        </w:rPr>
      </w:pPr>
    </w:p>
    <w:p w14:paraId="7C2EBECF">
      <w:pPr>
        <w:pStyle w:val="4"/>
        <w:widowControl/>
        <w:spacing w:beforeAutospacing="0" w:afterAutospacing="0" w:line="360" w:lineRule="atLeast"/>
        <w:rPr>
          <w:rFonts w:hint="default" w:ascii="新宋体" w:hAnsi="新宋体" w:eastAsia="新宋体" w:cs="新宋体"/>
          <w:b w:val="0"/>
          <w:bCs w:val="0"/>
          <w:sz w:val="21"/>
          <w:szCs w:val="21"/>
        </w:rPr>
      </w:pPr>
      <w:r>
        <w:rPr>
          <w:rFonts w:ascii="新宋体" w:hAnsi="新宋体" w:eastAsia="新宋体" w:cs="新宋体"/>
          <w:b w:val="0"/>
          <w:bCs w:val="0"/>
          <w:sz w:val="21"/>
          <w:szCs w:val="21"/>
        </w:rPr>
        <w:t>6.4 穿墙、穿楼板施工规范</w:t>
      </w:r>
    </w:p>
    <w:p w14:paraId="285B1691">
      <w:pPr>
        <w:widowControl/>
        <w:spacing w:line="360" w:lineRule="atLeast"/>
        <w:rPr>
          <w:rFonts w:ascii="新宋体" w:hAnsi="新宋体" w:eastAsia="新宋体" w:cs="新宋体"/>
          <w:szCs w:val="21"/>
        </w:rPr>
      </w:pPr>
      <w:r>
        <w:rPr>
          <w:rFonts w:hint="eastAsia" w:ascii="新宋体" w:hAnsi="新宋体" w:eastAsia="新宋体" w:cs="新宋体"/>
          <w:szCs w:val="21"/>
        </w:rPr>
        <w:t>1. 管道穿墙必须加装保护套管，套管两端与墙面平齐；管道与套管间隙填充建筑密封胶，套管与墙体缝隙采用白水泥密实封堵；</w:t>
      </w:r>
    </w:p>
    <w:p w14:paraId="497D8CD2">
      <w:pPr>
        <w:widowControl/>
        <w:spacing w:line="360" w:lineRule="atLeast"/>
        <w:rPr>
          <w:rFonts w:ascii="新宋体" w:hAnsi="新宋体" w:eastAsia="新宋体" w:cs="新宋体"/>
          <w:szCs w:val="21"/>
        </w:rPr>
      </w:pPr>
      <w:r>
        <w:rPr>
          <w:rFonts w:hint="eastAsia" w:ascii="新宋体" w:hAnsi="新宋体" w:eastAsia="新宋体" w:cs="新宋体"/>
          <w:szCs w:val="21"/>
        </w:rPr>
        <w:t>2. 管道穿越楼板（天面）时，套管与内管间隙填充不可燃耐高温硅胶，满足消防防爆要求。</w:t>
      </w:r>
    </w:p>
    <w:p w14:paraId="70902D73">
      <w:pPr>
        <w:widowControl/>
        <w:spacing w:line="360" w:lineRule="atLeast"/>
        <w:rPr>
          <w:rFonts w:ascii="新宋体" w:hAnsi="新宋体" w:eastAsia="新宋体" w:cs="新宋体"/>
          <w:szCs w:val="21"/>
        </w:rPr>
      </w:pPr>
    </w:p>
    <w:p w14:paraId="662C9AD2">
      <w:pPr>
        <w:pStyle w:val="4"/>
        <w:widowControl/>
        <w:spacing w:beforeAutospacing="0" w:afterAutospacing="0" w:line="360" w:lineRule="atLeast"/>
        <w:rPr>
          <w:rFonts w:hint="default" w:ascii="新宋体" w:hAnsi="新宋体" w:eastAsia="新宋体" w:cs="新宋体"/>
          <w:b w:val="0"/>
          <w:bCs w:val="0"/>
          <w:sz w:val="21"/>
          <w:szCs w:val="21"/>
        </w:rPr>
      </w:pPr>
      <w:r>
        <w:rPr>
          <w:rFonts w:ascii="新宋体" w:hAnsi="新宋体" w:eastAsia="新宋体" w:cs="新宋体"/>
          <w:b w:val="0"/>
          <w:bCs w:val="0"/>
          <w:sz w:val="21"/>
          <w:szCs w:val="21"/>
        </w:rPr>
        <w:t>6.5 试压、吹扫验收流程</w:t>
      </w:r>
    </w:p>
    <w:p w14:paraId="583C68D7">
      <w:pPr>
        <w:widowControl/>
        <w:spacing w:line="360" w:lineRule="atLeast"/>
        <w:rPr>
          <w:rFonts w:ascii="新宋体" w:hAnsi="新宋体" w:eastAsia="新宋体" w:cs="新宋体"/>
          <w:szCs w:val="21"/>
        </w:rPr>
      </w:pPr>
      <w:r>
        <w:rPr>
          <w:rStyle w:val="8"/>
          <w:rFonts w:hint="eastAsia" w:ascii="新宋体" w:hAnsi="新宋体" w:eastAsia="新宋体" w:cs="新宋体"/>
          <w:b w:val="0"/>
          <w:szCs w:val="21"/>
        </w:rPr>
        <w:t>1. 外观初检</w:t>
      </w:r>
      <w:r>
        <w:rPr>
          <w:rFonts w:hint="eastAsia" w:ascii="新宋体" w:hAnsi="新宋体" w:eastAsia="新宋体" w:cs="新宋体"/>
          <w:szCs w:val="21"/>
        </w:rPr>
        <w:t>：隐蔽管路（吊顶内、墙体夹层）必须在封板、吊顶封闭前完成外观、焊接质量全检；</w:t>
      </w:r>
    </w:p>
    <w:p w14:paraId="208EF84B">
      <w:pPr>
        <w:widowControl/>
        <w:spacing w:line="360" w:lineRule="atLeast"/>
        <w:rPr>
          <w:rFonts w:ascii="新宋体" w:hAnsi="新宋体" w:eastAsia="新宋体" w:cs="新宋体"/>
          <w:szCs w:val="21"/>
        </w:rPr>
      </w:pPr>
      <w:r>
        <w:rPr>
          <w:rStyle w:val="8"/>
          <w:rFonts w:hint="eastAsia" w:ascii="新宋体" w:hAnsi="新宋体" w:eastAsia="新宋体" w:cs="新宋体"/>
          <w:b w:val="0"/>
          <w:szCs w:val="21"/>
        </w:rPr>
        <w:t>2. 强度气压试验</w:t>
      </w:r>
      <w:r>
        <w:rPr>
          <w:rFonts w:hint="eastAsia" w:ascii="新宋体" w:hAnsi="新宋体" w:eastAsia="新宋体" w:cs="新宋体"/>
          <w:szCs w:val="21"/>
        </w:rPr>
        <w:t>：全部管路通入高纯氮气升压至 1.15MPa，稳压 10 分钟，压力无下降为强度试验合格；</w:t>
      </w:r>
    </w:p>
    <w:p w14:paraId="27D81636">
      <w:pPr>
        <w:widowControl/>
        <w:spacing w:line="360" w:lineRule="atLeast"/>
        <w:rPr>
          <w:rFonts w:ascii="新宋体" w:hAnsi="新宋体" w:eastAsia="新宋体" w:cs="新宋体"/>
          <w:szCs w:val="21"/>
        </w:rPr>
      </w:pPr>
      <w:r>
        <w:rPr>
          <w:rStyle w:val="8"/>
          <w:rFonts w:hint="eastAsia" w:ascii="新宋体" w:hAnsi="新宋体" w:eastAsia="新宋体" w:cs="新宋体"/>
          <w:b w:val="0"/>
          <w:szCs w:val="21"/>
        </w:rPr>
        <w:t>3. 气密性试验</w:t>
      </w:r>
      <w:r>
        <w:rPr>
          <w:rFonts w:hint="eastAsia" w:ascii="新宋体" w:hAnsi="新宋体" w:eastAsia="新宋体" w:cs="新宋体"/>
          <w:szCs w:val="21"/>
        </w:rPr>
        <w:t>：强度试验合格后，充高纯氮气至 1.0MPa 使用压力，稳压 12 小时，压力偏差≤0.5% 为气密性合格；</w:t>
      </w:r>
    </w:p>
    <w:p w14:paraId="27D8DB9A">
      <w:pPr>
        <w:widowControl/>
        <w:spacing w:line="360" w:lineRule="atLeast"/>
        <w:rPr>
          <w:rFonts w:ascii="新宋体" w:hAnsi="新宋体" w:eastAsia="新宋体" w:cs="新宋体"/>
          <w:szCs w:val="21"/>
        </w:rPr>
      </w:pPr>
      <w:r>
        <w:rPr>
          <w:rStyle w:val="8"/>
          <w:rFonts w:hint="eastAsia" w:ascii="新宋体" w:hAnsi="新宋体" w:eastAsia="新宋体" w:cs="新宋体"/>
          <w:b w:val="0"/>
          <w:szCs w:val="21"/>
        </w:rPr>
        <w:t>4. 洁净吹扫</w:t>
      </w:r>
      <w:r>
        <w:rPr>
          <w:rFonts w:hint="eastAsia" w:ascii="新宋体" w:hAnsi="新宋体" w:eastAsia="新宋体" w:cs="新宋体"/>
          <w:szCs w:val="21"/>
        </w:rPr>
        <w:t>：气密性验收后分段氮气吹扫，气流流速≥20m/s，单段连续吹扫不少于 15min，逐支管吹扫不留死角；吹扫初期低速进气，避免高速摩擦发热、管路氧化、撞击损伤。</w:t>
      </w:r>
    </w:p>
    <w:p w14:paraId="456D6F72">
      <w:pPr>
        <w:widowControl/>
        <w:spacing w:line="360" w:lineRule="atLeast"/>
        <w:rPr>
          <w:rFonts w:ascii="新宋体" w:hAnsi="新宋体" w:eastAsia="新宋体" w:cs="新宋体"/>
          <w:szCs w:val="21"/>
        </w:rPr>
      </w:pPr>
    </w:p>
    <w:p w14:paraId="125953B7">
      <w:pPr>
        <w:pStyle w:val="4"/>
        <w:widowControl/>
        <w:spacing w:beforeAutospacing="0" w:afterAutospacing="0" w:line="360" w:lineRule="atLeast"/>
        <w:rPr>
          <w:rFonts w:hint="default" w:ascii="新宋体" w:hAnsi="新宋体" w:eastAsia="新宋体" w:cs="新宋体"/>
          <w:b w:val="0"/>
          <w:bCs w:val="0"/>
          <w:sz w:val="21"/>
          <w:szCs w:val="21"/>
          <w:lang w:bidi="ar"/>
        </w:rPr>
      </w:pPr>
      <w:r>
        <w:rPr>
          <w:rFonts w:ascii="新宋体" w:hAnsi="新宋体" w:eastAsia="新宋体" w:cs="新宋体"/>
          <w:b w:val="0"/>
          <w:bCs w:val="0"/>
          <w:sz w:val="21"/>
          <w:szCs w:val="21"/>
        </w:rPr>
        <w:t>6.6 质保售后服务：</w:t>
      </w:r>
      <w:r>
        <w:rPr>
          <w:rFonts w:ascii="新宋体" w:hAnsi="新宋体" w:eastAsia="新宋体" w:cs="新宋体"/>
          <w:b w:val="0"/>
          <w:bCs w:val="0"/>
          <w:sz w:val="21"/>
          <w:szCs w:val="21"/>
          <w:lang w:bidi="ar"/>
        </w:rPr>
        <w:t>整套供气系统竣工验收合格之日起，提供</w:t>
      </w:r>
      <w:r>
        <w:rPr>
          <w:rStyle w:val="8"/>
          <w:rFonts w:ascii="新宋体" w:hAnsi="新宋体" w:eastAsia="新宋体" w:cs="新宋体"/>
          <w:b w:val="0"/>
          <w:bCs w:val="0"/>
          <w:sz w:val="21"/>
          <w:szCs w:val="21"/>
          <w:lang w:bidi="ar"/>
        </w:rPr>
        <w:t>1 年免费质保期</w:t>
      </w:r>
      <w:r>
        <w:rPr>
          <w:rFonts w:ascii="新宋体" w:hAnsi="新宋体" w:eastAsia="新宋体" w:cs="新宋体"/>
          <w:b w:val="0"/>
          <w:bCs w:val="0"/>
          <w:sz w:val="21"/>
          <w:szCs w:val="21"/>
          <w:lang w:bidi="ar"/>
        </w:rPr>
        <w:t>；质保期内非人为损坏引发的泄漏、压力不稳、报警故障、阀门失效等问题，</w:t>
      </w:r>
      <w:r>
        <w:rPr>
          <w:rFonts w:hint="eastAsia" w:ascii="新宋体" w:hAnsi="新宋体" w:eastAsia="新宋体" w:cs="新宋体"/>
          <w:b w:val="0"/>
          <w:bCs w:val="0"/>
          <w:sz w:val="21"/>
          <w:szCs w:val="21"/>
          <w:lang w:val="en-US" w:eastAsia="zh-CN" w:bidi="ar"/>
        </w:rPr>
        <w:t>乙方</w:t>
      </w:r>
      <w:r>
        <w:rPr>
          <w:rFonts w:ascii="新宋体" w:hAnsi="新宋体" w:eastAsia="新宋体" w:cs="新宋体"/>
          <w:b w:val="0"/>
          <w:bCs w:val="0"/>
          <w:sz w:val="21"/>
          <w:szCs w:val="21"/>
          <w:lang w:bidi="ar"/>
        </w:rPr>
        <w:t>需 24 小时内到场免费检修、更换配件。</w:t>
      </w:r>
    </w:p>
    <w:p w14:paraId="07ED4B28">
      <w:pPr>
        <w:rPr>
          <w:rFonts w:ascii="新宋体" w:hAnsi="新宋体" w:eastAsia="新宋体" w:cs="新宋体"/>
          <w:kern w:val="0"/>
          <w:szCs w:val="21"/>
          <w:lang w:bidi="ar"/>
        </w:rPr>
      </w:pPr>
    </w:p>
    <w:p w14:paraId="3568EF6F">
      <w:pPr>
        <w:rPr>
          <w:rFonts w:hint="default" w:ascii="新宋体" w:hAnsi="新宋体" w:eastAsia="新宋体" w:cs="新宋体"/>
          <w:kern w:val="0"/>
          <w:szCs w:val="21"/>
          <w:lang w:val="en-US" w:eastAsia="zh-CN" w:bidi="ar"/>
        </w:rPr>
      </w:pPr>
      <w:r>
        <w:rPr>
          <w:rFonts w:hint="eastAsia" w:ascii="新宋体" w:hAnsi="新宋体" w:eastAsia="新宋体" w:cs="新宋体"/>
          <w:kern w:val="0"/>
          <w:szCs w:val="21"/>
          <w:highlight w:val="yellow"/>
          <w:lang w:bidi="ar"/>
        </w:rPr>
        <w:t>设计图纸</w:t>
      </w:r>
      <w:r>
        <w:rPr>
          <w:rFonts w:hint="eastAsia" w:ascii="新宋体" w:hAnsi="新宋体" w:eastAsia="新宋体" w:cs="新宋体"/>
          <w:kern w:val="0"/>
          <w:szCs w:val="21"/>
          <w:highlight w:val="yellow"/>
          <w:lang w:eastAsia="zh-CN" w:bidi="ar"/>
        </w:rPr>
        <w:t>：</w:t>
      </w:r>
      <w:r>
        <w:rPr>
          <w:rFonts w:hint="eastAsia" w:ascii="新宋体" w:hAnsi="新宋体" w:eastAsia="新宋体" w:cs="新宋体"/>
          <w:kern w:val="0"/>
          <w:szCs w:val="21"/>
          <w:highlight w:val="yellow"/>
          <w:lang w:val="en-US" w:eastAsia="zh-CN" w:bidi="ar"/>
        </w:rPr>
        <w:t>请查看PDF附件</w:t>
      </w:r>
    </w:p>
    <w:p w14:paraId="15B64E1E"/>
    <w:p w14:paraId="0DDF91B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新宋体">
    <w:panose1 w:val="02010609030101010101"/>
    <w:charset w:val="86"/>
    <w:family w:val="modern"/>
    <w:pitch w:val="default"/>
    <w:sig w:usb0="00000203" w:usb1="288F0000" w:usb2="0000000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E0A63B0"/>
    <w:multiLevelType w:val="singleLevel"/>
    <w:tmpl w:val="EE0A63B0"/>
    <w:lvl w:ilvl="0" w:tentative="0">
      <w:start w:val="2"/>
      <w:numFmt w:val="chineseCounting"/>
      <w:suff w:val="nothing"/>
      <w:lvlText w:val="%1、"/>
      <w:lvlJc w:val="left"/>
      <w:rPr>
        <w:rFonts w:hint="eastAsia"/>
      </w:rPr>
    </w:lvl>
  </w:abstractNum>
  <w:abstractNum w:abstractNumId="1">
    <w:nsid w:val="6F758DE6"/>
    <w:multiLevelType w:val="singleLevel"/>
    <w:tmpl w:val="6F758DE6"/>
    <w:lvl w:ilvl="0" w:tentative="0">
      <w:start w:val="2"/>
      <w:numFmt w:val="chineseCounting"/>
      <w:suff w:val="nothing"/>
      <w:lvlText w:val="%1、"/>
      <w:lvlJc w:val="left"/>
      <w:rPr>
        <w:rFonts w:hint="eastAsia"/>
      </w:rPr>
    </w:lvl>
  </w:abstractNum>
  <w:abstractNum w:abstractNumId="2">
    <w:nsid w:val="7F412C11"/>
    <w:multiLevelType w:val="singleLevel"/>
    <w:tmpl w:val="7F412C11"/>
    <w:lvl w:ilvl="0" w:tentative="0">
      <w:start w:val="6"/>
      <w:numFmt w:val="chineseCounting"/>
      <w:suff w:val="nothing"/>
      <w:lvlText w:val="%1、"/>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1970C6"/>
    <w:rsid w:val="003C24A8"/>
    <w:rsid w:val="004964E3"/>
    <w:rsid w:val="00A53E35"/>
    <w:rsid w:val="00D52C31"/>
    <w:rsid w:val="00E60BF9"/>
    <w:rsid w:val="00EE1E7C"/>
    <w:rsid w:val="061F0D5E"/>
    <w:rsid w:val="081A4276"/>
    <w:rsid w:val="0C170B8A"/>
    <w:rsid w:val="11762537"/>
    <w:rsid w:val="121446ED"/>
    <w:rsid w:val="15483304"/>
    <w:rsid w:val="18623356"/>
    <w:rsid w:val="2304639A"/>
    <w:rsid w:val="25754679"/>
    <w:rsid w:val="2ACF2CB4"/>
    <w:rsid w:val="2BCD468A"/>
    <w:rsid w:val="2C654CD1"/>
    <w:rsid w:val="3245131C"/>
    <w:rsid w:val="39E25273"/>
    <w:rsid w:val="3BF227E9"/>
    <w:rsid w:val="45DA3B08"/>
    <w:rsid w:val="476D7F85"/>
    <w:rsid w:val="4FD21B60"/>
    <w:rsid w:val="52AC74F1"/>
    <w:rsid w:val="569E0443"/>
    <w:rsid w:val="583E4144"/>
    <w:rsid w:val="621A233C"/>
    <w:rsid w:val="650A1380"/>
    <w:rsid w:val="671970C6"/>
    <w:rsid w:val="6FCC1A9B"/>
    <w:rsid w:val="78C10A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paragraph" w:styleId="3">
    <w:name w:val="heading 2"/>
    <w:basedOn w:val="1"/>
    <w:next w:val="1"/>
    <w:semiHidden/>
    <w:unhideWhenUsed/>
    <w:qFormat/>
    <w:uiPriority w:val="0"/>
    <w:pPr>
      <w:spacing w:beforeAutospacing="1" w:afterAutospacing="1"/>
      <w:jc w:val="left"/>
      <w:outlineLvl w:val="1"/>
    </w:pPr>
    <w:rPr>
      <w:rFonts w:hint="eastAsia" w:ascii="宋体" w:hAnsi="宋体" w:eastAsia="宋体" w:cs="Times New Roman"/>
      <w:b/>
      <w:bCs/>
      <w:kern w:val="0"/>
      <w:sz w:val="36"/>
      <w:szCs w:val="36"/>
    </w:rPr>
  </w:style>
  <w:style w:type="paragraph" w:styleId="4">
    <w:name w:val="heading 3"/>
    <w:basedOn w:val="1"/>
    <w:next w:val="1"/>
    <w:unhideWhenUsed/>
    <w:qFormat/>
    <w:uiPriority w:val="0"/>
    <w:pPr>
      <w:spacing w:beforeAutospacing="1" w:afterAutospacing="1"/>
      <w:jc w:val="left"/>
      <w:outlineLvl w:val="2"/>
    </w:pPr>
    <w:rPr>
      <w:rFonts w:hint="eastAsia" w:ascii="宋体" w:hAnsi="宋体" w:eastAsia="宋体" w:cs="Times New Roman"/>
      <w:b/>
      <w:bCs/>
      <w:kern w:val="0"/>
      <w:sz w:val="27"/>
      <w:szCs w:val="27"/>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5">
    <w:name w:val="annotation text"/>
    <w:basedOn w:val="1"/>
    <w:qFormat/>
    <w:uiPriority w:val="0"/>
    <w:pPr>
      <w:jc w:val="left"/>
    </w:pPr>
  </w:style>
  <w:style w:type="character" w:styleId="8">
    <w:name w:val="Strong"/>
    <w:basedOn w:val="7"/>
    <w:qFormat/>
    <w:uiPriority w:val="0"/>
    <w:rPr>
      <w:b/>
    </w:rPr>
  </w:style>
  <w:style w:type="character" w:styleId="9">
    <w:name w:val="Emphasis"/>
    <w:basedOn w:val="7"/>
    <w:qFormat/>
    <w:uiPriority w:val="0"/>
    <w:rPr>
      <w:i/>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2804</Words>
  <Characters>3304</Characters>
  <Lines>25</Lines>
  <Paragraphs>7</Paragraphs>
  <TotalTime>85</TotalTime>
  <ScaleCrop>false</ScaleCrop>
  <LinksUpToDate>false</LinksUpToDate>
  <CharactersWithSpaces>3461</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2026-08-12T08:10:00Z</dcterms:created>
  <dc:creator>微信用户</dc:creator>
  <cp:lastModifiedBy>微信用户</cp:lastModifiedBy>
  <dcterms:modified xsi:type="dcterms:W3CDTF">2026-09-14T07:26:13Z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15F19F8D7333421EB29A434CE9FFF7F3_13</vt:lpwstr>
  </property>
  <property fmtid="{D5CDD505-2E9C-101B-9397-08002B2CF9AE}" pid="4" name="KSOTemplateDocerSaveRecord">
    <vt:lpwstr>eyJoZGlkIjoiMWZhODVmZDRhMGYxZDdhZWRlMzcxZTgyNjc0MTFhNWIiLCJ1c2VySWQiOiIxMjYwMTM4NDg0In0=</vt:lpwstr>
  </property>
</Properties>
</file>