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方正小标宋简体"/>
          <w:b/>
          <w:sz w:val="40"/>
          <w:szCs w:val="28"/>
        </w:rPr>
      </w:pPr>
      <w:r>
        <w:rPr>
          <w:rFonts w:eastAsia="方正小标宋简体"/>
          <w:b/>
          <w:sz w:val="40"/>
          <w:szCs w:val="28"/>
        </w:rPr>
        <w:t>BG</w:t>
      </w:r>
      <w:r>
        <w:rPr>
          <w:rFonts w:hint="eastAsia" w:eastAsia="方正小标宋简体"/>
          <w:b/>
          <w:sz w:val="40"/>
          <w:szCs w:val="28"/>
        </w:rPr>
        <w:t>O晶体采购文件</w:t>
      </w:r>
    </w:p>
    <w:p>
      <w:pPr>
        <w:rPr>
          <w:b/>
          <w:sz w:val="24"/>
        </w:rPr>
      </w:pPr>
    </w:p>
    <w:p>
      <w:pPr>
        <w:rPr>
          <w:rFonts w:ascii="黑体" w:hAnsi="黑体" w:eastAsia="黑体" w:cs="黑体"/>
          <w:b/>
          <w:sz w:val="32"/>
          <w:szCs w:val="32"/>
        </w:rPr>
      </w:pPr>
      <w:r>
        <w:rPr>
          <w:rFonts w:hint="eastAsia" w:ascii="黑体" w:hAnsi="黑体" w:eastAsia="黑体" w:cs="黑体"/>
          <w:b/>
          <w:sz w:val="32"/>
          <w:szCs w:val="32"/>
        </w:rPr>
        <w:t>一、采购信息</w:t>
      </w:r>
    </w:p>
    <w:p>
      <w:pPr>
        <w:rPr>
          <w:rFonts w:eastAsia="仿宋_GB2312"/>
          <w:b/>
          <w:sz w:val="32"/>
          <w:szCs w:val="32"/>
        </w:rPr>
      </w:pPr>
      <w:r>
        <w:rPr>
          <w:rFonts w:hint="eastAsia" w:eastAsia="仿宋_GB2312"/>
          <w:b/>
          <w:sz w:val="32"/>
          <w:szCs w:val="32"/>
        </w:rPr>
        <w:t>采购人：</w:t>
      </w:r>
      <w:r>
        <w:rPr>
          <w:rFonts w:hint="eastAsia" w:eastAsia="仿宋_GB2312"/>
          <w:bCs/>
          <w:sz w:val="32"/>
          <w:szCs w:val="32"/>
        </w:rPr>
        <w:t>济南中科核技术研究院</w:t>
      </w:r>
    </w:p>
    <w:p>
      <w:pPr>
        <w:rPr>
          <w:rFonts w:eastAsia="仿宋_GB2312"/>
          <w:bCs/>
          <w:sz w:val="32"/>
          <w:szCs w:val="32"/>
        </w:rPr>
      </w:pPr>
      <w:r>
        <w:rPr>
          <w:rFonts w:hint="eastAsia" w:eastAsia="仿宋_GB2312"/>
          <w:b/>
          <w:sz w:val="32"/>
          <w:szCs w:val="32"/>
        </w:rPr>
        <w:t>采购项目：B</w:t>
      </w:r>
      <w:r>
        <w:rPr>
          <w:rFonts w:eastAsia="仿宋_GB2312"/>
          <w:b/>
          <w:sz w:val="32"/>
          <w:szCs w:val="32"/>
        </w:rPr>
        <w:t>GO</w:t>
      </w:r>
      <w:r>
        <w:rPr>
          <w:rFonts w:hint="eastAsia" w:eastAsia="仿宋_GB2312"/>
          <w:bCs/>
          <w:sz w:val="32"/>
          <w:szCs w:val="32"/>
        </w:rPr>
        <w:t>晶体阵列</w:t>
      </w:r>
    </w:p>
    <w:p>
      <w:pPr>
        <w:rPr>
          <w:rFonts w:eastAsia="仿宋_GB2312"/>
          <w:bCs/>
          <w:sz w:val="32"/>
          <w:szCs w:val="32"/>
        </w:rPr>
      </w:pPr>
      <w:r>
        <w:rPr>
          <w:rFonts w:hint="eastAsia" w:eastAsia="仿宋_GB2312"/>
          <w:b/>
          <w:sz w:val="32"/>
          <w:szCs w:val="32"/>
        </w:rPr>
        <w:t>采购数量：</w:t>
      </w:r>
      <w:r>
        <w:rPr>
          <w:rFonts w:eastAsia="仿宋_GB2312"/>
          <w:bCs/>
          <w:sz w:val="32"/>
          <w:szCs w:val="32"/>
        </w:rPr>
        <w:t>20</w:t>
      </w:r>
      <w:r>
        <w:rPr>
          <w:rFonts w:hint="eastAsia" w:eastAsia="仿宋_GB2312"/>
          <w:bCs/>
          <w:sz w:val="32"/>
          <w:szCs w:val="32"/>
        </w:rPr>
        <w:t>个</w:t>
      </w:r>
    </w:p>
    <w:p>
      <w:pPr>
        <w:pStyle w:val="3"/>
        <w:spacing w:line="360" w:lineRule="auto"/>
        <w:rPr>
          <w:rFonts w:eastAsia="仿宋_GB2312"/>
          <w:sz w:val="32"/>
          <w:szCs w:val="32"/>
        </w:rPr>
      </w:pPr>
      <w:r>
        <w:rPr>
          <w:rFonts w:hint="eastAsia" w:eastAsia="仿宋_GB2312"/>
          <w:b/>
          <w:bCs/>
          <w:sz w:val="32"/>
          <w:szCs w:val="32"/>
        </w:rPr>
        <w:t>采购用途：</w:t>
      </w:r>
      <w:r>
        <w:rPr>
          <w:rFonts w:hint="eastAsia" w:eastAsia="仿宋_GB2312"/>
          <w:sz w:val="32"/>
          <w:szCs w:val="32"/>
        </w:rPr>
        <w:t>探测伽马射线并实现将高能射线转换为低能光子并输出。</w:t>
      </w:r>
    </w:p>
    <w:p>
      <w:pPr>
        <w:rPr>
          <w:rFonts w:eastAsia="仿宋_GB2312"/>
          <w:bCs/>
          <w:sz w:val="32"/>
          <w:szCs w:val="32"/>
        </w:rPr>
      </w:pPr>
      <w:r>
        <w:rPr>
          <w:rFonts w:hint="eastAsia" w:eastAsia="仿宋_GB2312"/>
          <w:b/>
          <w:sz w:val="32"/>
          <w:szCs w:val="32"/>
        </w:rPr>
        <w:t>技术要求：</w:t>
      </w:r>
      <w:r>
        <w:rPr>
          <w:rFonts w:hint="eastAsia" w:eastAsia="仿宋_GB2312"/>
          <w:bCs/>
          <w:sz w:val="32"/>
          <w:szCs w:val="32"/>
        </w:rPr>
        <w:t>详见附件</w:t>
      </w:r>
      <w:r>
        <w:rPr>
          <w:rFonts w:hint="eastAsia" w:eastAsia="仿宋_GB2312"/>
          <w:bCs/>
          <w:sz w:val="32"/>
          <w:szCs w:val="32"/>
          <w:lang w:val="en-US" w:eastAsia="zh-CN"/>
        </w:rPr>
        <w:t>2</w:t>
      </w:r>
      <w:r>
        <w:rPr>
          <w:rFonts w:hint="eastAsia" w:eastAsia="仿宋_GB2312"/>
          <w:bCs/>
          <w:sz w:val="32"/>
          <w:szCs w:val="32"/>
        </w:rPr>
        <w:t xml:space="preserve"> 《主要技术参数响应表》</w:t>
      </w:r>
    </w:p>
    <w:p>
      <w:pPr>
        <w:rPr>
          <w:rFonts w:eastAsia="仿宋_GB2312"/>
          <w:bCs/>
          <w:sz w:val="32"/>
          <w:szCs w:val="32"/>
        </w:rPr>
      </w:pPr>
      <w:r>
        <w:rPr>
          <w:rFonts w:hint="eastAsia" w:eastAsia="仿宋_GB2312"/>
          <w:b/>
          <w:sz w:val="32"/>
          <w:szCs w:val="32"/>
        </w:rPr>
        <w:t>交货地点：</w:t>
      </w:r>
      <w:r>
        <w:rPr>
          <w:rFonts w:hint="eastAsia" w:eastAsia="仿宋_GB2312"/>
          <w:bCs/>
          <w:sz w:val="32"/>
          <w:szCs w:val="32"/>
        </w:rPr>
        <w:t>济南中科核技术研究院</w:t>
      </w:r>
    </w:p>
    <w:p>
      <w:pPr>
        <w:rPr>
          <w:rFonts w:eastAsia="仿宋_GB2312"/>
          <w:bCs/>
          <w:sz w:val="32"/>
          <w:szCs w:val="32"/>
        </w:rPr>
      </w:pPr>
      <w:r>
        <w:rPr>
          <w:rFonts w:hint="eastAsia" w:eastAsia="仿宋_GB2312"/>
          <w:b/>
          <w:sz w:val="32"/>
          <w:szCs w:val="32"/>
        </w:rPr>
        <w:t>交货时间：</w:t>
      </w:r>
      <w:r>
        <w:rPr>
          <w:rFonts w:hint="eastAsia" w:eastAsia="仿宋_GB2312"/>
          <w:bCs/>
          <w:sz w:val="32"/>
          <w:szCs w:val="32"/>
        </w:rPr>
        <w:t>合同签订后60个自然日内。</w:t>
      </w:r>
    </w:p>
    <w:p>
      <w:pPr>
        <w:rPr>
          <w:rFonts w:eastAsia="仿宋_GB2312"/>
          <w:bCs/>
          <w:sz w:val="32"/>
          <w:szCs w:val="32"/>
        </w:rPr>
      </w:pPr>
      <w:r>
        <w:rPr>
          <w:rFonts w:hint="eastAsia" w:eastAsia="仿宋_GB2312"/>
          <w:b/>
          <w:sz w:val="32"/>
          <w:szCs w:val="32"/>
        </w:rPr>
        <w:t>质保期：</w:t>
      </w:r>
      <w:r>
        <w:rPr>
          <w:rFonts w:hint="eastAsia" w:eastAsia="仿宋_GB2312"/>
          <w:bCs/>
          <w:sz w:val="32"/>
          <w:szCs w:val="32"/>
        </w:rPr>
        <w:t>从验收之日起12个月。</w:t>
      </w:r>
    </w:p>
    <w:p>
      <w:pPr>
        <w:rPr>
          <w:rFonts w:ascii="黑体" w:hAnsi="黑体" w:eastAsia="黑体" w:cs="黑体"/>
          <w:b/>
          <w:sz w:val="32"/>
          <w:szCs w:val="32"/>
        </w:rPr>
      </w:pPr>
      <w:r>
        <w:rPr>
          <w:rFonts w:hint="eastAsia" w:ascii="黑体" w:hAnsi="黑体" w:eastAsia="黑体" w:cs="黑体"/>
          <w:b/>
          <w:sz w:val="32"/>
          <w:szCs w:val="32"/>
        </w:rPr>
        <w:t>二、报价要求</w:t>
      </w:r>
    </w:p>
    <w:p>
      <w:pPr>
        <w:rPr>
          <w:rFonts w:eastAsia="仿宋_GB2312"/>
          <w:bCs/>
          <w:sz w:val="32"/>
          <w:szCs w:val="32"/>
        </w:rPr>
      </w:pPr>
      <w:r>
        <w:rPr>
          <w:rFonts w:hint="eastAsia" w:eastAsia="仿宋_GB2312"/>
          <w:b/>
          <w:sz w:val="32"/>
          <w:szCs w:val="32"/>
        </w:rPr>
        <w:t>报价文件内容：</w:t>
      </w:r>
      <w:r>
        <w:rPr>
          <w:rFonts w:hint="eastAsia" w:eastAsia="仿宋_GB2312"/>
          <w:bCs/>
          <w:sz w:val="32"/>
          <w:szCs w:val="32"/>
        </w:rPr>
        <w:t>详见采购公告文件，公告编号</w:t>
      </w:r>
    </w:p>
    <w:p>
      <w:pPr>
        <w:rPr>
          <w:rFonts w:eastAsia="仿宋_GB2312"/>
          <w:bCs/>
          <w:sz w:val="32"/>
          <w:szCs w:val="32"/>
        </w:rPr>
      </w:pPr>
      <w:r>
        <w:rPr>
          <w:rFonts w:hint="eastAsia" w:eastAsia="仿宋_GB2312"/>
          <w:b/>
          <w:sz w:val="32"/>
          <w:szCs w:val="32"/>
        </w:rPr>
        <w:t>报价文件递交方式：</w:t>
      </w:r>
      <w:r>
        <w:rPr>
          <w:rFonts w:hint="eastAsia" w:eastAsia="仿宋_GB2312"/>
          <w:b w:val="0"/>
          <w:bCs/>
          <w:sz w:val="32"/>
          <w:szCs w:val="32"/>
          <w:lang w:val="en-US" w:eastAsia="zh-CN"/>
        </w:rPr>
        <w:t>连同报价单一同上传至电子竞价平台，同时将</w:t>
      </w:r>
      <w:r>
        <w:rPr>
          <w:rFonts w:hint="eastAsia" w:eastAsia="仿宋_GB2312"/>
          <w:b w:val="0"/>
          <w:bCs/>
          <w:sz w:val="32"/>
          <w:szCs w:val="32"/>
        </w:rPr>
        <w:t>报价材料</w:t>
      </w:r>
      <w:r>
        <w:rPr>
          <w:rFonts w:hint="eastAsia" w:eastAsia="仿宋_GB2312"/>
          <w:b w:val="0"/>
          <w:bCs/>
          <w:sz w:val="32"/>
          <w:szCs w:val="32"/>
          <w:lang w:val="en-US" w:eastAsia="zh-CN"/>
        </w:rPr>
        <w:t>发送至邮箱：</w:t>
      </w:r>
      <w:r>
        <w:rPr>
          <w:rFonts w:hint="default" w:ascii="Times New Roman" w:hAnsi="Times New Roman" w:eastAsia="微软雅黑" w:cs="Times New Roman"/>
          <w:b w:val="0"/>
          <w:bCs/>
          <w:i w:val="0"/>
          <w:iCs w:val="0"/>
          <w:caps w:val="0"/>
          <w:color w:val="777777"/>
          <w:spacing w:val="0"/>
          <w:sz w:val="32"/>
          <w:szCs w:val="32"/>
          <w:shd w:val="clear" w:fill="FFFFFF"/>
        </w:rPr>
        <w:t>dongmz@ihep.ac.c</w:t>
      </w:r>
      <w:r>
        <w:rPr>
          <w:rFonts w:hint="default" w:ascii="Times New Roman" w:hAnsi="Times New Roman" w:eastAsia="微软雅黑" w:cs="Times New Roman"/>
          <w:i w:val="0"/>
          <w:iCs w:val="0"/>
          <w:caps w:val="0"/>
          <w:color w:val="777777"/>
          <w:spacing w:val="0"/>
          <w:sz w:val="32"/>
          <w:szCs w:val="32"/>
          <w:shd w:val="clear" w:fill="FFFFFF"/>
        </w:rPr>
        <w:t>n</w:t>
      </w:r>
      <w:r>
        <w:rPr>
          <w:rFonts w:hint="eastAsia" w:eastAsia="仿宋_GB2312"/>
          <w:bCs/>
          <w:sz w:val="32"/>
          <w:szCs w:val="32"/>
        </w:rPr>
        <w:t>。</w:t>
      </w:r>
    </w:p>
    <w:p>
      <w:pPr>
        <w:rPr>
          <w:b/>
          <w:sz w:val="24"/>
        </w:rPr>
      </w:pPr>
      <w:bookmarkStart w:id="2" w:name="_GoBack"/>
      <w:bookmarkEnd w:id="2"/>
      <w:r>
        <w:rPr>
          <w:b/>
          <w:sz w:val="24"/>
        </w:rPr>
        <w:br w:type="page"/>
      </w:r>
    </w:p>
    <w:p>
      <w:pPr>
        <w:rPr>
          <w:rFonts w:hint="eastAsia" w:eastAsia="宋体"/>
          <w:bCs/>
          <w:sz w:val="32"/>
          <w:szCs w:val="32"/>
          <w:lang w:val="en-US" w:eastAsia="zh-CN"/>
        </w:rPr>
      </w:pPr>
      <w:r>
        <w:rPr>
          <w:rFonts w:hint="eastAsia"/>
          <w:bCs/>
          <w:sz w:val="32"/>
          <w:szCs w:val="32"/>
        </w:rPr>
        <w:t>附件</w:t>
      </w:r>
      <w:r>
        <w:rPr>
          <w:rFonts w:hint="eastAsia"/>
          <w:bCs/>
          <w:sz w:val="32"/>
          <w:szCs w:val="32"/>
          <w:lang w:val="en-US" w:eastAsia="zh-CN"/>
        </w:rPr>
        <w:t>1</w:t>
      </w:r>
    </w:p>
    <w:p>
      <w:pPr>
        <w:jc w:val="center"/>
        <w:rPr>
          <w:rFonts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综合评分表</w:t>
      </w:r>
    </w:p>
    <w:p>
      <w:pPr>
        <w:spacing w:line="360" w:lineRule="auto"/>
        <w:rPr>
          <w:sz w:val="24"/>
        </w:rPr>
      </w:pPr>
    </w:p>
    <w:tbl>
      <w:tblPr>
        <w:tblStyle w:val="7"/>
        <w:tblW w:w="98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518"/>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38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
                <w:sz w:val="24"/>
              </w:rPr>
            </w:pPr>
            <w:r>
              <w:rPr>
                <w:rFonts w:hint="eastAsia" w:ascii="宋体" w:hAnsi="宋体"/>
                <w:b/>
                <w:sz w:val="24"/>
              </w:rPr>
              <w:t>评分项目</w:t>
            </w:r>
          </w:p>
        </w:tc>
        <w:tc>
          <w:tcPr>
            <w:tcW w:w="75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 w:val="24"/>
              </w:rPr>
            </w:pPr>
            <w:r>
              <w:rPr>
                <w:rFonts w:hint="eastAsia" w:ascii="宋体" w:hAnsi="宋体"/>
                <w:b/>
                <w:sz w:val="24"/>
              </w:rPr>
              <w:t>评分细则</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ascii="宋体" w:hAnsi="宋体"/>
                <w:b/>
                <w:sz w:val="24"/>
              </w:rPr>
            </w:pPr>
            <w:r>
              <w:rPr>
                <w:rFonts w:hint="eastAsia" w:ascii="宋体" w:hAnsi="宋体"/>
                <w:b/>
                <w:sz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138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000000"/>
                <w:sz w:val="24"/>
              </w:rPr>
            </w:pPr>
            <w:r>
              <w:rPr>
                <w:rFonts w:hint="eastAsia" w:ascii="宋体" w:hAnsi="宋体"/>
                <w:color w:val="000000"/>
                <w:sz w:val="24"/>
              </w:rPr>
              <w:t>价格</w:t>
            </w:r>
          </w:p>
          <w:p>
            <w:pPr>
              <w:snapToGrid w:val="0"/>
              <w:jc w:val="center"/>
              <w:rPr>
                <w:rFonts w:ascii="宋体" w:hAnsi="宋体"/>
                <w:color w:val="000000"/>
                <w:sz w:val="24"/>
              </w:rPr>
            </w:pPr>
            <w:r>
              <w:rPr>
                <w:rFonts w:hint="eastAsia" w:ascii="宋体" w:hAnsi="宋体"/>
                <w:color w:val="000000"/>
                <w:sz w:val="24"/>
              </w:rPr>
              <w:t>部分</w:t>
            </w:r>
          </w:p>
          <w:p>
            <w:pPr>
              <w:snapToGrid w:val="0"/>
              <w:jc w:val="center"/>
              <w:rPr>
                <w:rFonts w:ascii="宋体" w:hAnsi="宋体"/>
                <w:color w:val="000000"/>
                <w:sz w:val="24"/>
              </w:rPr>
            </w:pPr>
            <w:r>
              <w:rPr>
                <w:rFonts w:hint="eastAsia" w:ascii="宋体" w:hAnsi="宋体"/>
                <w:color w:val="000000"/>
                <w:sz w:val="24"/>
              </w:rPr>
              <w:t>（</w:t>
            </w:r>
            <w:r>
              <w:rPr>
                <w:rFonts w:hint="eastAsia" w:ascii="宋体" w:hAnsi="宋体"/>
                <w:color w:val="000000"/>
                <w:sz w:val="24"/>
                <w:lang w:val="en-US" w:eastAsia="zh-CN"/>
              </w:rPr>
              <w:t>5</w:t>
            </w:r>
            <w:r>
              <w:rPr>
                <w:rFonts w:hint="eastAsia" w:ascii="宋体" w:hAnsi="宋体"/>
                <w:color w:val="000000"/>
                <w:sz w:val="24"/>
              </w:rPr>
              <w:t>0分）</w:t>
            </w:r>
          </w:p>
        </w:tc>
        <w:tc>
          <w:tcPr>
            <w:tcW w:w="7518"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000000"/>
                <w:sz w:val="24"/>
              </w:rPr>
            </w:pPr>
            <w:r>
              <w:rPr>
                <w:rFonts w:hint="eastAsia" w:ascii="宋体" w:hAnsi="宋体"/>
                <w:color w:val="000000"/>
                <w:sz w:val="24"/>
              </w:rPr>
              <w:t>本次价格评分统一采用低价优先法计算，即满足要求且投标价格最低的投标报价为评标基准价，其价格分为满分。其他投标人的价格评分统一按照下列公式计算：</w:t>
            </w:r>
          </w:p>
          <w:p>
            <w:pPr>
              <w:ind w:firstLine="405"/>
              <w:rPr>
                <w:rFonts w:ascii="宋体" w:hAnsi="宋体"/>
                <w:color w:val="000000"/>
                <w:sz w:val="24"/>
              </w:rPr>
            </w:pPr>
            <w:r>
              <w:rPr>
                <w:rFonts w:hint="eastAsia" w:ascii="宋体" w:hAnsi="宋体"/>
                <w:color w:val="000000"/>
                <w:sz w:val="24"/>
              </w:rPr>
              <w:t>价格评分 =（评标基准价/投标报价）×</w:t>
            </w:r>
            <w:r>
              <w:rPr>
                <w:rFonts w:hint="eastAsia" w:ascii="宋体" w:hAnsi="宋体"/>
                <w:color w:val="000000"/>
                <w:sz w:val="24"/>
                <w:lang w:val="en-US" w:eastAsia="zh-CN"/>
              </w:rPr>
              <w:t>5</w:t>
            </w:r>
            <w:r>
              <w:rPr>
                <w:rFonts w:hint="eastAsia" w:ascii="宋体" w:hAnsi="宋体"/>
                <w:color w:val="000000"/>
                <w:sz w:val="24"/>
              </w:rPr>
              <w:t>0</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ascii="宋体" w:hAnsi="宋体"/>
                <w:color w:val="000000"/>
                <w:sz w:val="24"/>
              </w:rPr>
            </w:pPr>
            <w:r>
              <w:rPr>
                <w:rFonts w:hint="eastAsia" w:ascii="宋体" w:hAnsi="宋体"/>
                <w:color w:val="000000"/>
                <w:sz w:val="24"/>
                <w:lang w:val="en-US" w:eastAsia="zh-CN"/>
              </w:rPr>
              <w:t>5</w:t>
            </w:r>
            <w:r>
              <w:rPr>
                <w:rFonts w:hint="eastAsia" w:ascii="宋体" w:hAnsi="宋体"/>
                <w:color w:val="00000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384" w:type="dxa"/>
            <w:vMerge w:val="restart"/>
            <w:tcBorders>
              <w:top w:val="single" w:color="auto" w:sz="4" w:space="0"/>
              <w:left w:val="single" w:color="auto" w:sz="4" w:space="0"/>
              <w:right w:val="single" w:color="auto" w:sz="4" w:space="0"/>
            </w:tcBorders>
            <w:vAlign w:val="center"/>
          </w:tcPr>
          <w:p>
            <w:pPr>
              <w:snapToGrid w:val="0"/>
              <w:jc w:val="center"/>
              <w:rPr>
                <w:rFonts w:ascii="宋体" w:hAnsi="宋体"/>
                <w:color w:val="000000"/>
                <w:sz w:val="24"/>
              </w:rPr>
            </w:pPr>
            <w:r>
              <w:rPr>
                <w:rFonts w:hint="eastAsia" w:ascii="宋体" w:hAnsi="宋体"/>
                <w:color w:val="000000"/>
                <w:sz w:val="24"/>
              </w:rPr>
              <w:t>商务</w:t>
            </w:r>
          </w:p>
          <w:p>
            <w:pPr>
              <w:snapToGrid w:val="0"/>
              <w:jc w:val="center"/>
              <w:rPr>
                <w:rFonts w:ascii="宋体" w:hAnsi="宋体"/>
                <w:color w:val="000000"/>
                <w:sz w:val="24"/>
              </w:rPr>
            </w:pPr>
            <w:r>
              <w:rPr>
                <w:rFonts w:hint="eastAsia" w:ascii="宋体" w:hAnsi="宋体"/>
                <w:color w:val="000000"/>
                <w:sz w:val="24"/>
              </w:rPr>
              <w:t>部分</w:t>
            </w:r>
          </w:p>
          <w:p>
            <w:pPr>
              <w:snapToGrid w:val="0"/>
              <w:jc w:val="center"/>
              <w:rPr>
                <w:rFonts w:ascii="宋体" w:hAnsi="宋体"/>
                <w:color w:val="000000"/>
                <w:sz w:val="24"/>
              </w:rPr>
            </w:pPr>
            <w:r>
              <w:rPr>
                <w:rFonts w:hint="eastAsia" w:ascii="宋体" w:hAnsi="宋体"/>
                <w:color w:val="000000"/>
                <w:sz w:val="24"/>
              </w:rPr>
              <w:t>（10分）</w:t>
            </w:r>
          </w:p>
        </w:tc>
        <w:tc>
          <w:tcPr>
            <w:tcW w:w="7518"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000000"/>
                <w:sz w:val="24"/>
              </w:rPr>
            </w:pPr>
            <w:r>
              <w:rPr>
                <w:rFonts w:hint="eastAsia" w:ascii="宋体" w:hAnsi="宋体"/>
                <w:color w:val="000000"/>
                <w:sz w:val="24"/>
              </w:rPr>
              <w:t>1、质量管理体系：</w:t>
            </w:r>
          </w:p>
          <w:p>
            <w:pPr>
              <w:rPr>
                <w:rFonts w:ascii="宋体" w:hAnsi="宋体"/>
                <w:color w:val="000000"/>
                <w:sz w:val="24"/>
              </w:rPr>
            </w:pPr>
            <w:r>
              <w:rPr>
                <w:rFonts w:hint="eastAsia" w:ascii="宋体" w:hAnsi="宋体"/>
                <w:color w:val="000000"/>
                <w:sz w:val="24"/>
              </w:rPr>
              <w:t>按质量管理体系标准组织，有质量管理体系认证得</w:t>
            </w:r>
            <w:r>
              <w:rPr>
                <w:rFonts w:hint="eastAsia" w:ascii="宋体" w:hAnsi="宋体"/>
                <w:color w:val="000000"/>
                <w:sz w:val="24"/>
                <w:lang w:val="en-US" w:eastAsia="zh-CN"/>
              </w:rPr>
              <w:t>2</w:t>
            </w:r>
            <w:r>
              <w:rPr>
                <w:rFonts w:hint="eastAsia" w:ascii="宋体" w:hAnsi="宋体"/>
                <w:color w:val="000000"/>
                <w:sz w:val="24"/>
              </w:rPr>
              <w:t>分，没有得0分。</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hint="eastAsia" w:ascii="宋体" w:hAnsi="宋体" w:eastAsia="宋体"/>
                <w:color w:val="000000"/>
                <w:sz w:val="24"/>
                <w:lang w:eastAsia="zh-CN"/>
              </w:rPr>
            </w:pPr>
            <w:r>
              <w:rPr>
                <w:rFonts w:hint="eastAsia" w:ascii="宋体" w:hAnsi="宋体"/>
                <w:color w:val="000000"/>
                <w:sz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384" w:type="dxa"/>
            <w:vMerge w:val="continue"/>
            <w:tcBorders>
              <w:left w:val="single" w:color="auto" w:sz="4" w:space="0"/>
              <w:right w:val="single" w:color="auto" w:sz="4" w:space="0"/>
            </w:tcBorders>
            <w:vAlign w:val="center"/>
          </w:tcPr>
          <w:p>
            <w:pPr>
              <w:snapToGrid w:val="0"/>
              <w:jc w:val="center"/>
              <w:rPr>
                <w:rFonts w:ascii="宋体" w:hAnsi="宋体"/>
                <w:color w:val="000000"/>
                <w:sz w:val="24"/>
              </w:rPr>
            </w:pPr>
          </w:p>
        </w:tc>
        <w:tc>
          <w:tcPr>
            <w:tcW w:w="751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000000"/>
                <w:sz w:val="24"/>
                <w:lang w:eastAsia="zh-CN"/>
              </w:rPr>
            </w:pPr>
            <w:r>
              <w:rPr>
                <w:rFonts w:hint="eastAsia" w:ascii="宋体" w:hAnsi="宋体"/>
                <w:color w:val="000000"/>
                <w:sz w:val="24"/>
              </w:rPr>
              <w:t>2、投标人的相关业绩（每提供一个在投标截止日起近3年内相似产品项目合同案例加</w:t>
            </w:r>
            <w:r>
              <w:rPr>
                <w:rFonts w:ascii="宋体" w:hAnsi="宋体"/>
                <w:color w:val="000000"/>
                <w:sz w:val="24"/>
              </w:rPr>
              <w:t>2</w:t>
            </w:r>
            <w:r>
              <w:rPr>
                <w:rFonts w:hint="eastAsia" w:ascii="宋体" w:hAnsi="宋体"/>
                <w:color w:val="000000"/>
                <w:sz w:val="24"/>
              </w:rPr>
              <w:t>分，最高不超过</w:t>
            </w:r>
            <w:r>
              <w:rPr>
                <w:rFonts w:hint="eastAsia" w:ascii="宋体" w:hAnsi="宋体"/>
                <w:color w:val="000000"/>
                <w:sz w:val="24"/>
                <w:lang w:val="en-US" w:eastAsia="zh-CN"/>
              </w:rPr>
              <w:t>4</w:t>
            </w:r>
            <w:r>
              <w:rPr>
                <w:rFonts w:hint="eastAsia" w:ascii="宋体" w:hAnsi="宋体"/>
                <w:color w:val="000000"/>
                <w:sz w:val="24"/>
              </w:rPr>
              <w:t>分，案例以提供的合同为准，要求必须提供与最终用户签订的合同首页、合同金额所在页、签字盖章页复印件作为证明）</w:t>
            </w:r>
            <w:r>
              <w:rPr>
                <w:rFonts w:hint="eastAsia" w:ascii="宋体" w:hAnsi="宋体"/>
                <w:color w:val="000000"/>
                <w:sz w:val="24"/>
                <w:lang w:eastAsia="zh-CN"/>
              </w:rPr>
              <w:t>。</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hint="eastAsia" w:ascii="宋体" w:hAnsi="宋体" w:eastAsia="宋体"/>
                <w:color w:val="000000"/>
                <w:sz w:val="24"/>
                <w:lang w:eastAsia="zh-CN"/>
              </w:rPr>
            </w:pPr>
            <w:r>
              <w:rPr>
                <w:rFonts w:hint="eastAsia" w:ascii="宋体" w:hAnsi="宋体"/>
                <w:color w:val="000000"/>
                <w:sz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384" w:type="dxa"/>
            <w:vMerge w:val="continue"/>
            <w:tcBorders>
              <w:left w:val="single" w:color="auto" w:sz="4" w:space="0"/>
              <w:right w:val="single" w:color="auto" w:sz="4" w:space="0"/>
            </w:tcBorders>
            <w:vAlign w:val="center"/>
          </w:tcPr>
          <w:p>
            <w:pPr>
              <w:snapToGrid w:val="0"/>
              <w:jc w:val="center"/>
              <w:rPr>
                <w:rFonts w:ascii="宋体" w:hAnsi="宋体"/>
                <w:color w:val="000000"/>
                <w:sz w:val="24"/>
              </w:rPr>
            </w:pPr>
          </w:p>
        </w:tc>
        <w:tc>
          <w:tcPr>
            <w:tcW w:w="751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000000"/>
                <w:sz w:val="24"/>
                <w:lang w:eastAsia="zh-CN"/>
              </w:rPr>
            </w:pPr>
            <w:r>
              <w:rPr>
                <w:rFonts w:hint="eastAsia" w:ascii="宋体" w:hAnsi="宋体"/>
                <w:color w:val="000000"/>
                <w:sz w:val="24"/>
                <w:lang w:val="en-US" w:eastAsia="zh-CN"/>
              </w:rPr>
              <w:t>3、</w:t>
            </w:r>
            <w:r>
              <w:rPr>
                <w:rFonts w:hint="eastAsia" w:ascii="宋体" w:hAnsi="宋体"/>
                <w:color w:val="000000"/>
                <w:sz w:val="24"/>
              </w:rPr>
              <w:t>提供近三年</w:t>
            </w:r>
            <w:r>
              <w:rPr>
                <w:rFonts w:hint="eastAsia" w:ascii="宋体" w:hAnsi="宋体"/>
                <w:color w:val="000000"/>
                <w:sz w:val="24"/>
                <w:lang w:val="en-US" w:eastAsia="zh-CN"/>
              </w:rPr>
              <w:t>财务报表</w:t>
            </w:r>
            <w:r>
              <w:rPr>
                <w:rFonts w:hint="eastAsia" w:ascii="宋体" w:hAnsi="宋体"/>
                <w:color w:val="000000"/>
                <w:sz w:val="24"/>
              </w:rPr>
              <w:t>，经审计且内容完整的，</w:t>
            </w:r>
            <w:r>
              <w:rPr>
                <w:rFonts w:hint="eastAsia" w:ascii="宋体" w:hAnsi="宋体"/>
                <w:color w:val="000000"/>
                <w:sz w:val="24"/>
                <w:lang w:val="en-US" w:eastAsia="zh-CN"/>
              </w:rPr>
              <w:t>4</w:t>
            </w:r>
            <w:r>
              <w:rPr>
                <w:rFonts w:hint="eastAsia" w:ascii="宋体" w:hAnsi="宋体"/>
                <w:color w:val="000000"/>
                <w:sz w:val="24"/>
              </w:rPr>
              <w:t>分，内容不完整</w:t>
            </w:r>
            <w:r>
              <w:rPr>
                <w:rFonts w:hint="eastAsia" w:ascii="宋体" w:hAnsi="宋体"/>
                <w:color w:val="000000"/>
                <w:sz w:val="24"/>
                <w:lang w:val="en-US" w:eastAsia="zh-CN"/>
              </w:rPr>
              <w:t>或</w:t>
            </w:r>
            <w:r>
              <w:rPr>
                <w:rFonts w:hint="eastAsia" w:ascii="宋体" w:hAnsi="宋体"/>
                <w:color w:val="000000"/>
                <w:sz w:val="24"/>
              </w:rPr>
              <w:t>未提供的，0分</w:t>
            </w:r>
            <w:r>
              <w:rPr>
                <w:rFonts w:hint="eastAsia" w:ascii="宋体" w:hAnsi="宋体"/>
                <w:color w:val="000000"/>
                <w:sz w:val="24"/>
                <w:lang w:eastAsia="zh-CN"/>
              </w:rPr>
              <w:t>。</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hint="eastAsia" w:ascii="宋体" w:hAnsi="宋体" w:eastAsia="宋体"/>
                <w:color w:val="000000"/>
                <w:sz w:val="24"/>
                <w:lang w:val="en-US" w:eastAsia="zh-CN"/>
              </w:rPr>
            </w:pPr>
            <w:r>
              <w:rPr>
                <w:rFonts w:hint="eastAsia" w:ascii="宋体" w:hAnsi="宋体"/>
                <w:color w:val="000000"/>
                <w:sz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84"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24"/>
              </w:rPr>
            </w:pPr>
            <w:r>
              <w:rPr>
                <w:rFonts w:hint="eastAsia" w:ascii="宋体" w:hAnsi="宋体"/>
                <w:sz w:val="24"/>
              </w:rPr>
              <w:t>技术</w:t>
            </w:r>
          </w:p>
          <w:p>
            <w:pPr>
              <w:snapToGrid w:val="0"/>
              <w:jc w:val="center"/>
              <w:rPr>
                <w:rFonts w:ascii="宋体" w:hAnsi="宋体"/>
                <w:sz w:val="24"/>
              </w:rPr>
            </w:pPr>
            <w:r>
              <w:rPr>
                <w:rFonts w:hint="eastAsia" w:ascii="宋体" w:hAnsi="宋体"/>
                <w:sz w:val="24"/>
              </w:rPr>
              <w:t>部分</w:t>
            </w:r>
          </w:p>
          <w:p>
            <w:pPr>
              <w:snapToGrid w:val="0"/>
              <w:jc w:val="center"/>
              <w:rPr>
                <w:rFonts w:ascii="宋体" w:hAnsi="宋体"/>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0分）</w:t>
            </w:r>
          </w:p>
        </w:tc>
        <w:tc>
          <w:tcPr>
            <w:tcW w:w="7518" w:type="dxa"/>
            <w:tcBorders>
              <w:top w:val="single" w:color="auto" w:sz="4" w:space="0"/>
              <w:left w:val="single" w:color="auto" w:sz="4" w:space="0"/>
              <w:bottom w:val="single" w:color="auto" w:sz="4" w:space="0"/>
              <w:right w:val="single" w:color="auto" w:sz="4" w:space="0"/>
            </w:tcBorders>
            <w:vAlign w:val="center"/>
          </w:tcPr>
          <w:p>
            <w:pPr>
              <w:rPr>
                <w:rFonts w:ascii="宋体" w:hAnsi="宋体"/>
                <w:sz w:val="24"/>
              </w:rPr>
            </w:pPr>
            <w:r>
              <w:rPr>
                <w:rFonts w:hint="eastAsia" w:ascii="宋体" w:hAnsi="宋体"/>
                <w:sz w:val="24"/>
              </w:rPr>
              <w:t>1、技术指标条款响应情况</w:t>
            </w:r>
          </w:p>
          <w:p>
            <w:pPr>
              <w:numPr>
                <w:ilvl w:val="0"/>
                <w:numId w:val="1"/>
              </w:numPr>
              <w:rPr>
                <w:rFonts w:ascii="宋体" w:hAnsi="宋体"/>
                <w:sz w:val="24"/>
              </w:rPr>
            </w:pPr>
            <w:r>
              <w:rPr>
                <w:rFonts w:hint="eastAsia" w:ascii="宋体" w:hAnsi="宋体"/>
                <w:sz w:val="24"/>
              </w:rPr>
              <w:t>技术偏离表须依据招标文件技术指标逐条响应，否则视为未实质性响应招标文件, 其投标予以拒绝；</w:t>
            </w:r>
          </w:p>
          <w:p>
            <w:pPr>
              <w:numPr>
                <w:ilvl w:val="0"/>
                <w:numId w:val="1"/>
              </w:numPr>
              <w:rPr>
                <w:rFonts w:ascii="宋体" w:hAnsi="宋体"/>
                <w:sz w:val="24"/>
              </w:rPr>
            </w:pPr>
            <w:r>
              <w:rPr>
                <w:rFonts w:hint="eastAsia" w:ascii="宋体" w:hAnsi="宋体"/>
                <w:sz w:val="24"/>
              </w:rPr>
              <w:t>技术指标评审基准分为</w:t>
            </w:r>
            <w:r>
              <w:rPr>
                <w:rFonts w:hint="eastAsia" w:ascii="宋体" w:hAnsi="宋体"/>
                <w:sz w:val="24"/>
                <w:lang w:val="en-US" w:eastAsia="zh-CN"/>
              </w:rPr>
              <w:t>35</w:t>
            </w:r>
            <w:r>
              <w:rPr>
                <w:rFonts w:hint="eastAsia" w:ascii="宋体" w:hAnsi="宋体"/>
                <w:sz w:val="24"/>
              </w:rPr>
              <w:t>分，评委根据技术指标的偏离情况按以下标准进行评审：</w:t>
            </w:r>
          </w:p>
          <w:p>
            <w:pPr>
              <w:ind w:left="420"/>
              <w:rPr>
                <w:rFonts w:ascii="宋体" w:hAnsi="宋体"/>
                <w:sz w:val="24"/>
              </w:rPr>
            </w:pPr>
            <w:r>
              <w:rPr>
                <w:rFonts w:hint="eastAsia" w:ascii="宋体" w:hAnsi="宋体"/>
                <w:sz w:val="24"/>
              </w:rPr>
              <w:t>a．标记为“*”的指标是关键技术条款，正偏离不加分，如不满足其投标予以拒绝；</w:t>
            </w:r>
          </w:p>
          <w:p>
            <w:pPr>
              <w:ind w:left="420"/>
              <w:rPr>
                <w:rFonts w:ascii="宋体" w:hAnsi="宋体"/>
                <w:sz w:val="24"/>
              </w:rPr>
            </w:pPr>
            <w:r>
              <w:rPr>
                <w:rFonts w:hint="eastAsia" w:ascii="宋体" w:hAnsi="宋体"/>
                <w:sz w:val="24"/>
              </w:rPr>
              <w:t>b．标记为</w:t>
            </w:r>
            <w:r>
              <w:rPr>
                <w:rFonts w:ascii="宋体" w:hAnsi="宋体"/>
                <w:sz w:val="24"/>
              </w:rPr>
              <w:t>“</w:t>
            </w:r>
            <w:r>
              <w:rPr>
                <w:rFonts w:hint="eastAsia" w:ascii="宋体" w:hAnsi="宋体"/>
                <w:sz w:val="24"/>
              </w:rPr>
              <w:t>#</w:t>
            </w:r>
            <w:r>
              <w:rPr>
                <w:rFonts w:ascii="宋体" w:hAnsi="宋体"/>
                <w:sz w:val="24"/>
              </w:rPr>
              <w:t>”</w:t>
            </w:r>
            <w:r>
              <w:rPr>
                <w:rFonts w:hint="eastAsia" w:ascii="宋体" w:hAnsi="宋体"/>
                <w:sz w:val="24"/>
              </w:rPr>
              <w:t>的指标</w:t>
            </w:r>
            <w:r>
              <w:rPr>
                <w:rFonts w:ascii="宋体" w:hAnsi="宋体"/>
                <w:sz w:val="24"/>
              </w:rPr>
              <w:t>是</w:t>
            </w:r>
            <w:r>
              <w:rPr>
                <w:rFonts w:hint="eastAsia" w:ascii="宋体" w:hAnsi="宋体"/>
                <w:sz w:val="24"/>
              </w:rPr>
              <w:t>重要技术条款</w:t>
            </w:r>
            <w:r>
              <w:rPr>
                <w:rFonts w:ascii="宋体" w:hAnsi="宋体"/>
                <w:sz w:val="24"/>
              </w:rPr>
              <w:t>，正偏离</w:t>
            </w:r>
            <w:r>
              <w:rPr>
                <w:rFonts w:hint="eastAsia" w:ascii="宋体" w:hAnsi="宋体"/>
                <w:sz w:val="24"/>
              </w:rPr>
              <w:t>不加分</w:t>
            </w:r>
            <w:r>
              <w:rPr>
                <w:rFonts w:ascii="宋体" w:hAnsi="宋体"/>
                <w:sz w:val="24"/>
              </w:rPr>
              <w:t>，负偏离每条减</w:t>
            </w:r>
            <w:r>
              <w:rPr>
                <w:rFonts w:hint="eastAsia" w:ascii="宋体" w:hAnsi="宋体"/>
                <w:sz w:val="24"/>
                <w:u w:val="single"/>
              </w:rPr>
              <w:t xml:space="preserve">  </w:t>
            </w:r>
            <w:r>
              <w:rPr>
                <w:rFonts w:ascii="宋体" w:hAnsi="宋体"/>
                <w:sz w:val="24"/>
                <w:u w:val="single"/>
              </w:rPr>
              <w:t>5</w:t>
            </w:r>
            <w:r>
              <w:rPr>
                <w:rFonts w:hint="eastAsia" w:ascii="宋体" w:hAnsi="宋体"/>
                <w:sz w:val="24"/>
                <w:u w:val="single"/>
              </w:rPr>
              <w:t xml:space="preserve"> </w:t>
            </w:r>
            <w:r>
              <w:rPr>
                <w:rFonts w:ascii="宋体" w:hAnsi="宋体"/>
                <w:sz w:val="24"/>
              </w:rPr>
              <w:t>分</w:t>
            </w:r>
            <w:r>
              <w:rPr>
                <w:rFonts w:hint="eastAsia" w:ascii="宋体" w:hAnsi="宋体"/>
                <w:sz w:val="24"/>
              </w:rPr>
              <w:t>；</w:t>
            </w:r>
          </w:p>
          <w:p>
            <w:pPr>
              <w:ind w:left="420"/>
              <w:rPr>
                <w:rFonts w:ascii="宋体" w:hAnsi="宋体"/>
                <w:sz w:val="24"/>
              </w:rPr>
            </w:pPr>
            <w:r>
              <w:rPr>
                <w:rFonts w:hint="eastAsia" w:ascii="宋体" w:hAnsi="宋体"/>
                <w:sz w:val="24"/>
              </w:rPr>
              <w:t>c．无标记的指标是一般技术条款，</w:t>
            </w:r>
            <w:r>
              <w:rPr>
                <w:rFonts w:ascii="宋体" w:hAnsi="宋体"/>
                <w:sz w:val="24"/>
              </w:rPr>
              <w:t>正偏离</w:t>
            </w:r>
            <w:r>
              <w:rPr>
                <w:rFonts w:hint="eastAsia" w:ascii="宋体" w:hAnsi="宋体"/>
                <w:sz w:val="24"/>
              </w:rPr>
              <w:t>不加分，</w:t>
            </w:r>
            <w:r>
              <w:rPr>
                <w:rFonts w:ascii="宋体" w:hAnsi="宋体"/>
                <w:sz w:val="24"/>
              </w:rPr>
              <w:t>负偏离</w:t>
            </w:r>
            <w:r>
              <w:rPr>
                <w:rFonts w:hint="eastAsia" w:ascii="宋体" w:hAnsi="宋体"/>
                <w:sz w:val="24"/>
              </w:rPr>
              <w:t>不</w:t>
            </w:r>
            <w:r>
              <w:rPr>
                <w:rFonts w:ascii="宋体" w:hAnsi="宋体"/>
                <w:sz w:val="24"/>
              </w:rPr>
              <w:t>减分</w:t>
            </w:r>
            <w:r>
              <w:rPr>
                <w:rFonts w:hint="eastAsia" w:ascii="宋体" w:hAnsi="宋体"/>
                <w:sz w:val="24"/>
              </w:rPr>
              <w:t>。</w:t>
            </w:r>
          </w:p>
          <w:p>
            <w:pPr>
              <w:snapToGrid w:val="0"/>
              <w:rPr>
                <w:rFonts w:ascii="宋体" w:hAnsi="宋体"/>
                <w:sz w:val="24"/>
              </w:rPr>
            </w:pPr>
          </w:p>
          <w:p>
            <w:pPr>
              <w:snapToGrid w:val="0"/>
              <w:rPr>
                <w:rFonts w:ascii="宋体" w:hAnsi="宋体"/>
                <w:sz w:val="24"/>
              </w:rPr>
            </w:pPr>
            <w:r>
              <w:rPr>
                <w:rFonts w:hint="eastAsia" w:ascii="宋体" w:hAnsi="宋体"/>
                <w:sz w:val="24"/>
              </w:rPr>
              <w:t>注：投标人在响应技术条款时，应提供制造商公开发布的印刷资料（彩页或Datasheet）或检测机构出具的检测报告，若制造商公开发布的印刷资料与检测机构出具的检测报告不一致，以检测机构出具的检测报告为准。如果投标人不提供印刷资料或检测报告；印刷资料或检测报告出现与技术规格响应不一致；或无法体现投标人技术规格响应的情况时，评标委员会有权不予以认可。</w:t>
            </w:r>
          </w:p>
          <w:p>
            <w:pPr>
              <w:spacing w:line="400" w:lineRule="exact"/>
              <w:rPr>
                <w:rFonts w:ascii="宋体" w:hAnsi="宋体"/>
                <w:sz w:val="24"/>
              </w:rPr>
            </w:pPr>
          </w:p>
          <w:p>
            <w:pPr>
              <w:snapToGrid w:val="0"/>
              <w:rPr>
                <w:rFonts w:ascii="宋体" w:hAnsi="宋体"/>
                <w:sz w:val="24"/>
              </w:rPr>
            </w:pPr>
            <w:r>
              <w:rPr>
                <w:rFonts w:hint="eastAsia" w:ascii="宋体" w:hAnsi="宋体"/>
                <w:sz w:val="24"/>
              </w:rPr>
              <w:t>投标人对标记为星号（“*”）的关键技术条款必须在投标文件中提供技术支持资料。技术支持资料以制造商公开发布的印刷资料或检测机构出具的检测报告为准，凡不提供技术支持资料的，视为不满足招标文件要求，其投标予以拒绝。</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ascii="宋体" w:hAnsi="宋体"/>
                <w:sz w:val="24"/>
              </w:rPr>
            </w:pPr>
            <w:r>
              <w:rPr>
                <w:rFonts w:hint="eastAsia" w:ascii="宋体" w:hAnsi="宋体"/>
                <w:sz w:val="24"/>
                <w:lang w:val="en-US" w:eastAsia="zh-CN"/>
              </w:rPr>
              <w:t>3</w:t>
            </w:r>
            <w:r>
              <w:rPr>
                <w:rFonts w:hint="eastAsia" w:ascii="宋体" w:hAnsi="宋体"/>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384"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sz w:val="24"/>
              </w:rPr>
            </w:pPr>
          </w:p>
        </w:tc>
        <w:tc>
          <w:tcPr>
            <w:tcW w:w="7518" w:type="dxa"/>
            <w:tcBorders>
              <w:top w:val="single" w:color="auto" w:sz="4" w:space="0"/>
              <w:left w:val="single" w:color="auto" w:sz="4" w:space="0"/>
              <w:bottom w:val="single" w:color="auto" w:sz="4" w:space="0"/>
              <w:right w:val="single" w:color="auto" w:sz="4" w:space="0"/>
            </w:tcBorders>
            <w:vAlign w:val="center"/>
          </w:tcPr>
          <w:p>
            <w:pPr>
              <w:numPr>
                <w:ilvl w:val="0"/>
                <w:numId w:val="2"/>
              </w:numPr>
              <w:spacing w:line="320" w:lineRule="exact"/>
              <w:rPr>
                <w:rFonts w:ascii="宋体" w:hAnsi="宋体"/>
                <w:sz w:val="24"/>
              </w:rPr>
            </w:pPr>
            <w:r>
              <w:rPr>
                <w:rFonts w:hint="eastAsia" w:ascii="宋体" w:hAnsi="宋体"/>
                <w:sz w:val="24"/>
              </w:rPr>
              <w:t>售后及技术支持服务方案</w:t>
            </w:r>
          </w:p>
          <w:p>
            <w:pPr>
              <w:spacing w:line="320" w:lineRule="exact"/>
              <w:rPr>
                <w:rFonts w:ascii="宋体" w:hAnsi="宋体"/>
                <w:sz w:val="24"/>
              </w:rPr>
            </w:pPr>
            <w:r>
              <w:rPr>
                <w:rFonts w:hint="eastAsia" w:ascii="宋体" w:hAnsi="宋体"/>
                <w:sz w:val="24"/>
              </w:rPr>
              <w:t>不满足招标文件要求的得0分；基本满足招标文件要求的得</w:t>
            </w:r>
            <w:r>
              <w:rPr>
                <w:rFonts w:ascii="宋体" w:hAnsi="宋体"/>
                <w:sz w:val="24"/>
              </w:rPr>
              <w:t>2</w:t>
            </w:r>
            <w:r>
              <w:rPr>
                <w:rFonts w:hint="eastAsia" w:ascii="宋体" w:hAnsi="宋体"/>
                <w:sz w:val="24"/>
              </w:rPr>
              <w:t>分；完全满足和优于招标文件要求的得</w:t>
            </w:r>
            <w:r>
              <w:rPr>
                <w:rFonts w:ascii="宋体" w:hAnsi="宋体"/>
                <w:sz w:val="24"/>
              </w:rPr>
              <w:t>5</w:t>
            </w:r>
            <w:r>
              <w:rPr>
                <w:rFonts w:hint="eastAsia" w:ascii="宋体" w:hAnsi="宋体"/>
                <w:sz w:val="24"/>
              </w:rPr>
              <w:t>分</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ascii="宋体" w:hAnsi="宋体"/>
                <w:sz w:val="24"/>
              </w:rPr>
            </w:pPr>
            <w:r>
              <w:rPr>
                <w:rFonts w:ascii="宋体" w:hAnsi="宋体"/>
                <w:sz w:val="24"/>
              </w:rPr>
              <w:t>5</w:t>
            </w:r>
          </w:p>
        </w:tc>
      </w:tr>
    </w:tbl>
    <w:p>
      <w:pPr>
        <w:spacing w:line="360" w:lineRule="auto"/>
        <w:rPr>
          <w:sz w:val="24"/>
        </w:rPr>
        <w:sectPr>
          <w:pgSz w:w="11906" w:h="16838"/>
          <w:pgMar w:top="1440" w:right="1800" w:bottom="1440" w:left="1800" w:header="851" w:footer="992" w:gutter="0"/>
          <w:cols w:space="425" w:num="1"/>
          <w:docGrid w:type="lines" w:linePitch="312" w:charSpace="0"/>
        </w:sectPr>
      </w:pPr>
    </w:p>
    <w:p>
      <w:pPr>
        <w:rPr>
          <w:rFonts w:hint="eastAsia" w:eastAsia="宋体"/>
          <w:bCs/>
          <w:sz w:val="32"/>
          <w:szCs w:val="32"/>
          <w:lang w:val="en-US" w:eastAsia="zh-CN"/>
        </w:rPr>
      </w:pPr>
      <w:r>
        <w:rPr>
          <w:rFonts w:hint="eastAsia"/>
          <w:bCs/>
          <w:sz w:val="32"/>
          <w:szCs w:val="32"/>
        </w:rPr>
        <w:t>附件</w:t>
      </w:r>
      <w:r>
        <w:rPr>
          <w:rFonts w:hint="eastAsia"/>
          <w:bCs/>
          <w:sz w:val="32"/>
          <w:szCs w:val="32"/>
          <w:lang w:val="en-US" w:eastAsia="zh-CN"/>
        </w:rPr>
        <w:t>2</w:t>
      </w:r>
    </w:p>
    <w:p>
      <w:pPr>
        <w:jc w:val="center"/>
        <w:rPr>
          <w:rFonts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主要技术参数响应表</w:t>
      </w:r>
    </w:p>
    <w:p>
      <w:pPr>
        <w:jc w:val="center"/>
        <w:rPr>
          <w:rFonts w:ascii="方正小标宋简体" w:hAnsi="方正小标宋简体" w:eastAsia="方正小标宋简体" w:cs="方正小标宋简体"/>
          <w:b/>
          <w:sz w:val="36"/>
          <w:szCs w:val="36"/>
        </w:rPr>
      </w:pPr>
    </w:p>
    <w:tbl>
      <w:tblPr>
        <w:tblStyle w:val="7"/>
        <w:tblW w:w="9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2035"/>
        <w:gridCol w:w="2676"/>
        <w:gridCol w:w="1701"/>
        <w:gridCol w:w="2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131" w:type="dxa"/>
            <w:gridSpan w:val="2"/>
            <w:shd w:val="clear" w:color="auto" w:fill="auto"/>
            <w:noWrap/>
            <w:vAlign w:val="center"/>
          </w:tcPr>
          <w:p>
            <w:pPr>
              <w:jc w:val="center"/>
              <w:rPr>
                <w:b/>
                <w:bCs/>
                <w:color w:val="000000"/>
                <w:szCs w:val="21"/>
              </w:rPr>
            </w:pPr>
            <w:r>
              <w:rPr>
                <w:b/>
                <w:bCs/>
                <w:color w:val="000000"/>
                <w:szCs w:val="21"/>
              </w:rPr>
              <w:t>项目</w:t>
            </w:r>
          </w:p>
        </w:tc>
        <w:tc>
          <w:tcPr>
            <w:tcW w:w="2676" w:type="dxa"/>
            <w:shd w:val="clear" w:color="auto" w:fill="auto"/>
            <w:noWrap/>
            <w:vAlign w:val="center"/>
          </w:tcPr>
          <w:p>
            <w:pPr>
              <w:widowControl/>
              <w:jc w:val="center"/>
              <w:textAlignment w:val="center"/>
              <w:rPr>
                <w:b/>
                <w:bCs/>
                <w:color w:val="000000"/>
                <w:szCs w:val="21"/>
              </w:rPr>
            </w:pPr>
            <w:r>
              <w:rPr>
                <w:b/>
                <w:bCs/>
                <w:color w:val="000000"/>
                <w:kern w:val="0"/>
                <w:szCs w:val="21"/>
                <w:lang w:bidi="ar"/>
              </w:rPr>
              <w:t>技术参数</w:t>
            </w:r>
          </w:p>
        </w:tc>
        <w:tc>
          <w:tcPr>
            <w:tcW w:w="1701" w:type="dxa"/>
            <w:shd w:val="clear" w:color="auto" w:fill="auto"/>
            <w:noWrap/>
            <w:vAlign w:val="center"/>
          </w:tcPr>
          <w:p>
            <w:pPr>
              <w:widowControl/>
              <w:jc w:val="center"/>
              <w:textAlignment w:val="center"/>
              <w:rPr>
                <w:b/>
                <w:bCs/>
                <w:color w:val="000000"/>
                <w:szCs w:val="21"/>
              </w:rPr>
            </w:pPr>
            <w:r>
              <w:rPr>
                <w:b/>
                <w:bCs/>
                <w:color w:val="000000"/>
                <w:kern w:val="0"/>
                <w:szCs w:val="21"/>
                <w:lang w:bidi="ar"/>
              </w:rPr>
              <w:t>供应商响应指标</w:t>
            </w:r>
          </w:p>
        </w:tc>
        <w:tc>
          <w:tcPr>
            <w:tcW w:w="2427" w:type="dxa"/>
            <w:shd w:val="clear" w:color="auto" w:fill="auto"/>
            <w:noWrap/>
            <w:vAlign w:val="center"/>
          </w:tcPr>
          <w:p>
            <w:pPr>
              <w:widowControl/>
              <w:jc w:val="center"/>
              <w:textAlignment w:val="center"/>
              <w:rPr>
                <w:b/>
                <w:bCs/>
                <w:color w:val="000000"/>
                <w:szCs w:val="21"/>
              </w:rPr>
            </w:pPr>
            <w:r>
              <w:rPr>
                <w:b/>
                <w:bCs/>
                <w:color w:val="000000"/>
                <w:kern w:val="0"/>
                <w:szCs w:val="21"/>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6" w:type="dxa"/>
            <w:shd w:val="clear" w:color="auto" w:fill="auto"/>
            <w:noWrap/>
            <w:vAlign w:val="center"/>
          </w:tcPr>
          <w:p>
            <w:pPr>
              <w:widowControl/>
              <w:jc w:val="left"/>
              <w:textAlignment w:val="center"/>
              <w:rPr>
                <w:color w:val="000000"/>
                <w:szCs w:val="21"/>
              </w:rPr>
            </w:pPr>
            <w:r>
              <w:rPr>
                <w:color w:val="000000"/>
                <w:kern w:val="0"/>
                <w:szCs w:val="21"/>
                <w:lang w:bidi="ar"/>
              </w:rPr>
              <w:t>工作条件</w:t>
            </w:r>
          </w:p>
        </w:tc>
        <w:tc>
          <w:tcPr>
            <w:tcW w:w="2035" w:type="dxa"/>
            <w:shd w:val="clear" w:color="auto" w:fill="auto"/>
            <w:noWrap/>
            <w:vAlign w:val="center"/>
          </w:tcPr>
          <w:p>
            <w:pPr>
              <w:widowControl/>
              <w:jc w:val="left"/>
              <w:textAlignment w:val="center"/>
              <w:rPr>
                <w:color w:val="000000"/>
                <w:szCs w:val="21"/>
              </w:rPr>
            </w:pPr>
            <w:r>
              <w:rPr>
                <w:color w:val="000000"/>
                <w:kern w:val="0"/>
                <w:szCs w:val="21"/>
                <w:lang w:bidi="ar"/>
              </w:rPr>
              <w:t>工作环境温度</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0℃~+60℃</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restart"/>
            <w:shd w:val="clear" w:color="auto" w:fill="auto"/>
            <w:noWrap/>
            <w:vAlign w:val="center"/>
          </w:tcPr>
          <w:p>
            <w:pPr>
              <w:widowControl/>
              <w:jc w:val="left"/>
              <w:textAlignment w:val="center"/>
              <w:rPr>
                <w:color w:val="000000"/>
                <w:szCs w:val="21"/>
              </w:rPr>
            </w:pPr>
            <w:r>
              <w:rPr>
                <w:color w:val="000000"/>
                <w:kern w:val="0"/>
                <w:szCs w:val="21"/>
                <w:lang w:bidi="ar"/>
              </w:rPr>
              <w:t>单根晶体</w:t>
            </w: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单根晶体切割尺寸</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9.9mm×9.9mm×20mm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晶体条中心距</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10.0mm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restart"/>
            <w:shd w:val="clear" w:color="auto" w:fill="auto"/>
            <w:noWrap/>
            <w:vAlign w:val="center"/>
          </w:tcPr>
          <w:p>
            <w:pPr>
              <w:widowControl/>
              <w:jc w:val="left"/>
              <w:textAlignment w:val="center"/>
              <w:rPr>
                <w:color w:val="000000"/>
                <w:szCs w:val="21"/>
              </w:rPr>
            </w:pPr>
            <w:r>
              <w:rPr>
                <w:color w:val="000000"/>
                <w:kern w:val="0"/>
                <w:szCs w:val="21"/>
                <w:lang w:bidi="ar"/>
              </w:rPr>
              <w:t>晶体阵列</w:t>
            </w: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晶体阵列规格</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5×10</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color w:val="000000"/>
                <w:kern w:val="0"/>
                <w:szCs w:val="21"/>
                <w:lang w:bidi="ar"/>
              </w:rPr>
              <w:t>内反射层之间填充材料</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硫酸钡</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color w:val="000000"/>
                <w:kern w:val="0"/>
                <w:szCs w:val="21"/>
                <w:lang w:bidi="ar"/>
              </w:rPr>
              <w:t>内反射层之间填充材料尺寸</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0.10mm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color w:val="000000"/>
                <w:kern w:val="0"/>
                <w:szCs w:val="21"/>
                <w:lang w:bidi="ar"/>
              </w:rPr>
              <w:t>外反射层材料</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硫酸钡</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color w:val="000000"/>
                <w:kern w:val="0"/>
                <w:szCs w:val="21"/>
                <w:lang w:bidi="ar"/>
              </w:rPr>
              <w:t>外反射层材料尺寸</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0.25mm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color w:val="000000"/>
                <w:kern w:val="0"/>
                <w:szCs w:val="21"/>
                <w:lang w:bidi="ar"/>
              </w:rPr>
              <w:t>外保护层材料</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铝箔</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color w:val="000000"/>
                <w:kern w:val="0"/>
                <w:szCs w:val="21"/>
                <w:lang w:bidi="ar"/>
              </w:rPr>
              <w:t>外保护层材料尺寸</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0.05mm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kern w:val="0"/>
                <w:szCs w:val="21"/>
                <w:lang w:bidi="ar"/>
              </w:rPr>
            </w:pPr>
            <w:r>
              <w:rPr>
                <w:color w:val="000000"/>
                <w:kern w:val="0"/>
                <w:szCs w:val="21"/>
                <w:lang w:bidi="ar"/>
              </w:rPr>
              <w:t>阵列总尺寸</w:t>
            </w:r>
          </w:p>
          <w:p>
            <w:pPr>
              <w:widowControl/>
              <w:jc w:val="left"/>
              <w:textAlignment w:val="center"/>
              <w:rPr>
                <w:color w:val="000000"/>
                <w:szCs w:val="21"/>
              </w:rPr>
            </w:pPr>
            <w:r>
              <w:rPr>
                <w:color w:val="000000"/>
                <w:kern w:val="0"/>
                <w:szCs w:val="21"/>
                <w:lang w:bidi="ar"/>
              </w:rPr>
              <w:t>（含外围保护层）</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50.4mm×100.4mm×20.0mm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公差及精度要求</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负公差，精度±0.02mm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restart"/>
            <w:shd w:val="clear" w:color="auto" w:fill="auto"/>
            <w:noWrap/>
            <w:vAlign w:val="center"/>
          </w:tcPr>
          <w:p>
            <w:pPr>
              <w:rPr>
                <w:color w:val="000000"/>
                <w:szCs w:val="21"/>
              </w:rPr>
            </w:pPr>
            <w:r>
              <w:rPr>
                <w:color w:val="000000"/>
                <w:szCs w:val="21"/>
              </w:rPr>
              <w:t>晶体性能</w:t>
            </w: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发光衰减时间</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≤300ns</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widowControl/>
              <w:jc w:val="left"/>
              <w:textAlignment w:val="center"/>
              <w:rPr>
                <w:color w:val="000000"/>
                <w:szCs w:val="21"/>
              </w:rPr>
            </w:pPr>
            <w:r>
              <w:rPr>
                <w:color w:val="000000"/>
                <w:kern w:val="0"/>
                <w:szCs w:val="21"/>
                <w:lang w:bidi="ar"/>
              </w:rPr>
              <w:t>按照GB/T 13181-2002 10.2 直接示波法进行测量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光产额</w:t>
            </w:r>
          </w:p>
        </w:tc>
        <w:tc>
          <w:tcPr>
            <w:tcW w:w="2676" w:type="dxa"/>
            <w:shd w:val="clear" w:color="auto" w:fill="auto"/>
            <w:noWrap/>
            <w:vAlign w:val="center"/>
          </w:tcPr>
          <w:p>
            <w:pPr>
              <w:widowControl/>
              <w:jc w:val="center"/>
              <w:textAlignment w:val="center"/>
              <w:rPr>
                <w:color w:val="000000"/>
                <w:szCs w:val="21"/>
              </w:rPr>
            </w:pPr>
            <w:r>
              <w:rPr>
                <w:rStyle w:val="14"/>
                <w:rFonts w:hint="default" w:ascii="Times New Roman" w:hAnsi="Times New Roman" w:cs="Times New Roman"/>
                <w:sz w:val="21"/>
                <w:szCs w:val="21"/>
                <w:lang w:bidi="ar"/>
              </w:rPr>
              <w:t>≥</w:t>
            </w:r>
            <w:r>
              <w:rPr>
                <w:rStyle w:val="15"/>
                <w:sz w:val="21"/>
                <w:szCs w:val="21"/>
                <w:lang w:bidi="ar"/>
              </w:rPr>
              <w:t>8500photon/MeV@25℃</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发射峰值波长</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480nm±10nm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阵列内晶体一致性要求</w:t>
            </w:r>
          </w:p>
        </w:tc>
        <w:tc>
          <w:tcPr>
            <w:tcW w:w="2676" w:type="dxa"/>
            <w:shd w:val="clear" w:color="auto" w:fill="auto"/>
            <w:noWrap/>
            <w:vAlign w:val="center"/>
          </w:tcPr>
          <w:p>
            <w:pPr>
              <w:widowControl/>
              <w:jc w:val="center"/>
              <w:textAlignment w:val="center"/>
              <w:rPr>
                <w:color w:val="000000"/>
                <w:szCs w:val="21"/>
              </w:rPr>
            </w:pPr>
            <w:r>
              <w:rPr>
                <w:color w:val="000000"/>
                <w:kern w:val="0"/>
                <w:szCs w:val="21"/>
                <w:lang w:bidi="ar"/>
              </w:rPr>
              <w:t>光输出＞85%</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widowControl/>
              <w:jc w:val="left"/>
              <w:textAlignment w:val="center"/>
              <w:rPr>
                <w:color w:val="000000"/>
                <w:szCs w:val="21"/>
              </w:rPr>
            </w:pPr>
            <w:r>
              <w:rPr>
                <w:color w:val="000000"/>
                <w:kern w:val="0"/>
                <w:szCs w:val="21"/>
                <w:lang w:bidi="ar"/>
              </w:rPr>
              <w:t>光输出最低的像素不低于最好像素的85%，以各像素能谱峰位为参照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各阵列总峰位一致性要求</w:t>
            </w:r>
          </w:p>
        </w:tc>
        <w:tc>
          <w:tcPr>
            <w:tcW w:w="2676" w:type="dxa"/>
            <w:shd w:val="clear" w:color="auto" w:fill="auto"/>
            <w:noWrap/>
            <w:vAlign w:val="center"/>
          </w:tcPr>
          <w:p>
            <w:pPr>
              <w:widowControl/>
              <w:jc w:val="center"/>
              <w:textAlignment w:val="center"/>
              <w:rPr>
                <w:color w:val="000000"/>
                <w:szCs w:val="21"/>
              </w:rPr>
            </w:pPr>
            <w:r>
              <w:rPr>
                <w:rStyle w:val="14"/>
                <w:rFonts w:hint="default" w:ascii="Times New Roman" w:hAnsi="Times New Roman" w:cs="Times New Roman"/>
                <w:sz w:val="21"/>
                <w:szCs w:val="21"/>
                <w:lang w:bidi="ar"/>
              </w:rPr>
              <w:t>总能谱峰位＞</w:t>
            </w:r>
            <w:r>
              <w:rPr>
                <w:rStyle w:val="15"/>
                <w:sz w:val="21"/>
                <w:szCs w:val="21"/>
                <w:lang w:bidi="ar"/>
              </w:rPr>
              <w:t>85%</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widowControl/>
              <w:jc w:val="left"/>
              <w:textAlignment w:val="center"/>
              <w:rPr>
                <w:color w:val="000000"/>
                <w:szCs w:val="21"/>
              </w:rPr>
            </w:pPr>
            <w:r>
              <w:rPr>
                <w:color w:val="000000"/>
                <w:kern w:val="0"/>
                <w:szCs w:val="21"/>
                <w:lang w:bidi="ar"/>
              </w:rPr>
              <w:t>光输出最低的阵列不低于最好阵列的85%，以能谱总峰位为参照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color w:val="000000"/>
                <w:szCs w:val="21"/>
              </w:rPr>
            </w:pPr>
            <w:r>
              <w:rPr>
                <w:rFonts w:hint="eastAsia"/>
                <w:color w:val="000000"/>
                <w:kern w:val="0"/>
                <w:szCs w:val="21"/>
                <w:lang w:bidi="ar"/>
              </w:rPr>
              <w:t>#</w:t>
            </w:r>
            <w:r>
              <w:rPr>
                <w:color w:val="000000"/>
                <w:kern w:val="0"/>
                <w:szCs w:val="21"/>
                <w:lang w:bidi="ar"/>
              </w:rPr>
              <w:t>能量分辨率</w:t>
            </w:r>
          </w:p>
        </w:tc>
        <w:tc>
          <w:tcPr>
            <w:tcW w:w="2676" w:type="dxa"/>
            <w:shd w:val="clear" w:color="auto" w:fill="auto"/>
            <w:noWrap/>
            <w:vAlign w:val="center"/>
          </w:tcPr>
          <w:p>
            <w:pPr>
              <w:widowControl/>
              <w:jc w:val="center"/>
              <w:textAlignment w:val="center"/>
              <w:rPr>
                <w:rFonts w:hint="eastAsia"/>
                <w:color w:val="000000"/>
                <w:szCs w:val="21"/>
              </w:rPr>
            </w:pPr>
            <w:r>
              <w:rPr>
                <w:color w:val="000000"/>
                <w:kern w:val="0"/>
                <w:szCs w:val="21"/>
                <w:lang w:bidi="ar"/>
              </w:rPr>
              <w:t>≤15%@511keV</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shd w:val="clear" w:color="auto" w:fill="auto"/>
            <w:noWrap/>
            <w:vAlign w:val="center"/>
          </w:tcPr>
          <w:p>
            <w:pPr>
              <w:rPr>
                <w:color w:val="000000"/>
                <w:szCs w:val="21"/>
              </w:rPr>
            </w:pPr>
          </w:p>
        </w:tc>
        <w:tc>
          <w:tcPr>
            <w:tcW w:w="2035" w:type="dxa"/>
            <w:shd w:val="clear" w:color="auto" w:fill="auto"/>
            <w:noWrap/>
            <w:vAlign w:val="center"/>
          </w:tcPr>
          <w:p>
            <w:pPr>
              <w:widowControl/>
              <w:jc w:val="left"/>
              <w:textAlignment w:val="center"/>
              <w:rPr>
                <w:rFonts w:hint="eastAsia"/>
                <w:color w:val="000000"/>
                <w:kern w:val="0"/>
                <w:szCs w:val="21"/>
                <w:lang w:bidi="ar"/>
              </w:rPr>
            </w:pPr>
            <w:r>
              <w:rPr>
                <w:rFonts w:hint="eastAsia"/>
                <w:color w:val="000000"/>
                <w:kern w:val="0"/>
                <w:szCs w:val="21"/>
                <w:lang w:bidi="ar"/>
              </w:rPr>
              <w:t>#特殊要求</w:t>
            </w:r>
          </w:p>
        </w:tc>
        <w:tc>
          <w:tcPr>
            <w:tcW w:w="2676" w:type="dxa"/>
            <w:shd w:val="clear" w:color="auto" w:fill="auto"/>
            <w:noWrap/>
            <w:vAlign w:val="center"/>
          </w:tcPr>
          <w:p>
            <w:pPr>
              <w:widowControl/>
              <w:jc w:val="center"/>
              <w:textAlignment w:val="center"/>
              <w:rPr>
                <w:color w:val="000000"/>
                <w:kern w:val="0"/>
                <w:szCs w:val="21"/>
                <w:lang w:bidi="ar"/>
              </w:rPr>
            </w:pPr>
            <w:r>
              <w:rPr>
                <w:color w:val="000000"/>
                <w:kern w:val="0"/>
                <w:szCs w:val="21"/>
                <w:lang w:bidi="ar"/>
              </w:rPr>
              <w:t>出光面为</w:t>
            </w:r>
            <w:bookmarkStart w:id="0" w:name="OLE_LINK1"/>
            <w:bookmarkStart w:id="1" w:name="OLE_LINK2"/>
            <w:r>
              <w:rPr>
                <w:rFonts w:hint="eastAsia"/>
                <w:color w:val="000000"/>
                <w:kern w:val="0"/>
                <w:szCs w:val="21"/>
                <w:lang w:bidi="ar"/>
              </w:rPr>
              <w:t>6mm</w:t>
            </w:r>
            <w:r>
              <w:rPr>
                <w:color w:val="000000"/>
                <w:kern w:val="0"/>
                <w:szCs w:val="21"/>
                <w:lang w:bidi="ar"/>
              </w:rPr>
              <w:t>×6mm</w:t>
            </w:r>
            <w:bookmarkEnd w:id="0"/>
            <w:bookmarkEnd w:id="1"/>
            <w:r>
              <w:rPr>
                <w:color w:val="000000"/>
                <w:kern w:val="0"/>
                <w:szCs w:val="21"/>
                <w:lang w:bidi="ar"/>
              </w:rPr>
              <w:t>时，光输出衰减不大于</w:t>
            </w:r>
            <w:r>
              <w:rPr>
                <w:rFonts w:hint="eastAsia"/>
                <w:color w:val="000000"/>
                <w:kern w:val="0"/>
                <w:szCs w:val="21"/>
                <w:lang w:bidi="ar"/>
              </w:rPr>
              <w:t>5</w:t>
            </w:r>
            <w:r>
              <w:rPr>
                <w:color w:val="000000"/>
                <w:kern w:val="0"/>
                <w:szCs w:val="21"/>
                <w:lang w:bidi="ar"/>
              </w:rPr>
              <w:t>0%</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rFonts w:hint="eastAsia"/>
                <w:color w:val="000000"/>
                <w:szCs w:val="21"/>
              </w:rPr>
            </w:pPr>
            <w:r>
              <w:rPr>
                <w:color w:val="000000"/>
                <w:szCs w:val="21"/>
              </w:rPr>
              <w:t>测量时可选某条晶体，用反光材料遮住晶体其它位置，仅留</w:t>
            </w:r>
            <w:r>
              <w:rPr>
                <w:rFonts w:hint="eastAsia"/>
                <w:color w:val="000000"/>
                <w:kern w:val="0"/>
                <w:szCs w:val="21"/>
                <w:lang w:bidi="ar"/>
              </w:rPr>
              <w:t>6mm</w:t>
            </w:r>
            <w:r>
              <w:rPr>
                <w:color w:val="000000"/>
                <w:kern w:val="0"/>
                <w:szCs w:val="21"/>
                <w:lang w:bidi="ar"/>
              </w:rPr>
              <w:t>×6mm的出光面测量能谱，与无遮挡时该单条晶体能谱相比较</w:t>
            </w:r>
          </w:p>
        </w:tc>
      </w:tr>
    </w:tbl>
    <w:p>
      <w:pPr>
        <w:rPr>
          <w:b/>
          <w:sz w:val="24"/>
        </w:rPr>
      </w:pPr>
    </w:p>
    <w:p>
      <w:pPr>
        <w:widowControl/>
        <w:jc w:val="left"/>
        <w:rPr>
          <w:rFonts w:hint="eastAsia"/>
          <w:bCs/>
          <w:sz w:val="32"/>
          <w:szCs w:val="32"/>
          <w:lang w:val="en-US" w:eastAsia="zh-CN"/>
        </w:rPr>
      </w:pPr>
      <w:r>
        <w:rPr>
          <w:rFonts w:hint="eastAsia"/>
          <w:sz w:val="24"/>
        </w:rPr>
        <w:t>注：</w:t>
      </w:r>
      <w:r>
        <w:rPr>
          <w:rFonts w:hint="eastAsia" w:ascii="宋体" w:hAnsi="宋体"/>
          <w:sz w:val="24"/>
        </w:rPr>
        <w:t>标记为“*”的指标是关键技术条款，</w:t>
      </w:r>
      <w:r>
        <w:rPr>
          <w:rFonts w:hint="eastAsia"/>
          <w:sz w:val="24"/>
        </w:rPr>
        <w:t>为必须满足条件，否则将被视为无效报价；</w:t>
      </w:r>
      <w:r>
        <w:rPr>
          <w:rFonts w:hint="eastAsia" w:ascii="宋体" w:hAnsi="宋体"/>
          <w:sz w:val="24"/>
        </w:rPr>
        <w:t>标记为</w:t>
      </w:r>
      <w:r>
        <w:rPr>
          <w:rFonts w:ascii="宋体" w:hAnsi="宋体"/>
          <w:sz w:val="24"/>
        </w:rPr>
        <w:t>“</w:t>
      </w:r>
      <w:r>
        <w:rPr>
          <w:rFonts w:hint="eastAsia" w:ascii="宋体" w:hAnsi="宋体"/>
          <w:sz w:val="24"/>
        </w:rPr>
        <w:t>#</w:t>
      </w:r>
      <w:r>
        <w:rPr>
          <w:rFonts w:ascii="宋体" w:hAnsi="宋体"/>
          <w:sz w:val="24"/>
        </w:rPr>
        <w:t>”</w:t>
      </w:r>
      <w:r>
        <w:rPr>
          <w:rFonts w:hint="eastAsia" w:ascii="宋体" w:hAnsi="宋体"/>
          <w:sz w:val="24"/>
        </w:rPr>
        <w:t>的指标</w:t>
      </w:r>
      <w:r>
        <w:rPr>
          <w:rFonts w:ascii="宋体" w:hAnsi="宋体"/>
          <w:sz w:val="24"/>
        </w:rPr>
        <w:t>是</w:t>
      </w:r>
      <w:r>
        <w:rPr>
          <w:rFonts w:hint="eastAsia" w:ascii="宋体" w:hAnsi="宋体"/>
          <w:sz w:val="24"/>
        </w:rPr>
        <w:t>重要技术条款</w:t>
      </w:r>
      <w:r>
        <w:rPr>
          <w:rFonts w:ascii="宋体" w:hAnsi="宋体"/>
          <w:sz w:val="24"/>
        </w:rPr>
        <w:t>，</w:t>
      </w:r>
      <w:r>
        <w:rPr>
          <w:rFonts w:hint="eastAsia" w:ascii="宋体" w:hAnsi="宋体"/>
          <w:sz w:val="24"/>
        </w:rPr>
        <w:t>负偏离会相应扣分。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6C5431"/>
    <w:multiLevelType w:val="multilevel"/>
    <w:tmpl w:val="006C5431"/>
    <w:lvl w:ilvl="0" w:tentative="0">
      <w:start w:val="1"/>
      <w:numFmt w:val="decimal"/>
      <w:lvlText w:val="（%1)"/>
      <w:lvlJc w:val="left"/>
      <w:pPr>
        <w:tabs>
          <w:tab w:val="left" w:pos="420"/>
        </w:tabs>
        <w:ind w:left="420" w:hanging="420"/>
      </w:pPr>
      <w:rPr>
        <w:rFonts w:hint="eastAsia"/>
      </w:rPr>
    </w:lvl>
    <w:lvl w:ilvl="1" w:tentative="0">
      <w:start w:val="4"/>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C962514"/>
    <w:multiLevelType w:val="multilevel"/>
    <w:tmpl w:val="2C962514"/>
    <w:lvl w:ilvl="0" w:tentative="0">
      <w:start w:val="2"/>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xMjJiOTA2Zjk3NWZhOGQyZDIxYjM2YzJlOTNkYTAifQ=="/>
  </w:docVars>
  <w:rsids>
    <w:rsidRoot w:val="008F5DFB"/>
    <w:rsid w:val="00002A04"/>
    <w:rsid w:val="00006FEE"/>
    <w:rsid w:val="00042C7E"/>
    <w:rsid w:val="00042FFC"/>
    <w:rsid w:val="00092D37"/>
    <w:rsid w:val="00212659"/>
    <w:rsid w:val="0028410F"/>
    <w:rsid w:val="002E31B5"/>
    <w:rsid w:val="00376CF1"/>
    <w:rsid w:val="003A0AA7"/>
    <w:rsid w:val="00452C5A"/>
    <w:rsid w:val="00454F3D"/>
    <w:rsid w:val="0047733C"/>
    <w:rsid w:val="004A3E46"/>
    <w:rsid w:val="005051F8"/>
    <w:rsid w:val="00513A52"/>
    <w:rsid w:val="005547C8"/>
    <w:rsid w:val="005A3BD3"/>
    <w:rsid w:val="006128D6"/>
    <w:rsid w:val="006D4D1E"/>
    <w:rsid w:val="006D4D2F"/>
    <w:rsid w:val="006F3867"/>
    <w:rsid w:val="00790442"/>
    <w:rsid w:val="00852F31"/>
    <w:rsid w:val="00854EE2"/>
    <w:rsid w:val="008F5DFB"/>
    <w:rsid w:val="00937254"/>
    <w:rsid w:val="009B2404"/>
    <w:rsid w:val="00A0201D"/>
    <w:rsid w:val="00A023EE"/>
    <w:rsid w:val="00A03FEE"/>
    <w:rsid w:val="00A1601E"/>
    <w:rsid w:val="00C43BA5"/>
    <w:rsid w:val="00C51EDF"/>
    <w:rsid w:val="00D5727B"/>
    <w:rsid w:val="00F152D1"/>
    <w:rsid w:val="00F63BF4"/>
    <w:rsid w:val="00F65605"/>
    <w:rsid w:val="0F221B67"/>
    <w:rsid w:val="118B6400"/>
    <w:rsid w:val="12EC35FC"/>
    <w:rsid w:val="1DE101C9"/>
    <w:rsid w:val="28181F32"/>
    <w:rsid w:val="2BED0C84"/>
    <w:rsid w:val="30E574B7"/>
    <w:rsid w:val="30FF0C3A"/>
    <w:rsid w:val="42750D5C"/>
    <w:rsid w:val="59B403D1"/>
    <w:rsid w:val="66134265"/>
    <w:rsid w:val="6A2829D5"/>
    <w:rsid w:val="6C890479"/>
    <w:rsid w:val="73C1435C"/>
    <w:rsid w:val="752C424B"/>
    <w:rsid w:val="796B468C"/>
    <w:rsid w:val="7CFB1883"/>
    <w:rsid w:val="7DEF358F"/>
    <w:rsid w:val="7E2A00E0"/>
    <w:rsid w:val="7ECB3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Courier New"/>
      <w:sz w:val="24"/>
      <w:szCs w:val="21"/>
    </w:rPr>
  </w:style>
  <w:style w:type="paragraph" w:styleId="3">
    <w:name w:val="Date"/>
    <w:basedOn w:val="1"/>
    <w:next w:val="1"/>
    <w:link w:val="12"/>
    <w:autoRedefine/>
    <w:qFormat/>
    <w:uiPriority w:val="0"/>
    <w:rPr>
      <w:szCs w:val="20"/>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widowControl/>
      <w:spacing w:before="100" w:beforeAutospacing="1" w:after="100" w:afterAutospacing="1"/>
      <w:jc w:val="left"/>
    </w:pPr>
    <w:rPr>
      <w:rFonts w:ascii="Arial Unicode MS" w:hAnsi="Arial Unicode MS" w:eastAsia="Arial Unicode MS" w:cs="Times New Roman"/>
      <w:kern w:val="0"/>
      <w:sz w:val="24"/>
      <w:szCs w:val="24"/>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Char"/>
    <w:basedOn w:val="9"/>
    <w:link w:val="5"/>
    <w:autoRedefine/>
    <w:qFormat/>
    <w:uiPriority w:val="99"/>
    <w:rPr>
      <w:sz w:val="18"/>
      <w:szCs w:val="18"/>
    </w:rPr>
  </w:style>
  <w:style w:type="character" w:customStyle="1" w:styleId="11">
    <w:name w:val="页脚 Char"/>
    <w:basedOn w:val="9"/>
    <w:link w:val="4"/>
    <w:autoRedefine/>
    <w:qFormat/>
    <w:uiPriority w:val="99"/>
    <w:rPr>
      <w:sz w:val="18"/>
      <w:szCs w:val="18"/>
    </w:rPr>
  </w:style>
  <w:style w:type="character" w:customStyle="1" w:styleId="12">
    <w:name w:val="日期 Char"/>
    <w:basedOn w:val="9"/>
    <w:link w:val="3"/>
    <w:autoRedefine/>
    <w:qFormat/>
    <w:uiPriority w:val="0"/>
    <w:rPr>
      <w:rFonts w:ascii="Times New Roman" w:hAnsi="Times New Roman" w:eastAsia="宋体" w:cs="Times New Roman"/>
      <w:szCs w:val="20"/>
    </w:rPr>
  </w:style>
  <w:style w:type="paragraph" w:styleId="13">
    <w:name w:val="List Paragraph"/>
    <w:basedOn w:val="1"/>
    <w:autoRedefine/>
    <w:qFormat/>
    <w:uiPriority w:val="34"/>
    <w:pPr>
      <w:ind w:firstLine="420" w:firstLineChars="200"/>
    </w:pPr>
  </w:style>
  <w:style w:type="character" w:customStyle="1" w:styleId="14">
    <w:name w:val="font11"/>
    <w:basedOn w:val="9"/>
    <w:autoRedefine/>
    <w:qFormat/>
    <w:uiPriority w:val="0"/>
    <w:rPr>
      <w:rFonts w:hint="eastAsia" w:ascii="宋体" w:hAnsi="宋体" w:eastAsia="宋体" w:cs="宋体"/>
      <w:color w:val="000000"/>
      <w:sz w:val="32"/>
      <w:szCs w:val="32"/>
      <w:u w:val="none"/>
    </w:rPr>
  </w:style>
  <w:style w:type="character" w:customStyle="1" w:styleId="15">
    <w:name w:val="font21"/>
    <w:basedOn w:val="9"/>
    <w:autoRedefine/>
    <w:qFormat/>
    <w:uiPriority w:val="0"/>
    <w:rPr>
      <w:rFonts w:hint="default" w:ascii="Times New Roman" w:hAnsi="Times New Roman" w:cs="Times New Roman"/>
      <w:color w:val="000000"/>
      <w:sz w:val="32"/>
      <w:szCs w:val="32"/>
      <w:u w:val="none"/>
    </w:rPr>
  </w:style>
  <w:style w:type="paragraph" w:customStyle="1" w:styleId="16">
    <w:name w:val="b1"/>
    <w:basedOn w:val="1"/>
    <w:autoRedefine/>
    <w:qFormat/>
    <w:uiPriority w:val="0"/>
    <w:pPr>
      <w:widowControl/>
      <w:spacing w:before="100" w:beforeAutospacing="1" w:after="100" w:afterAutospacing="1"/>
      <w:jc w:val="left"/>
    </w:pPr>
    <w:rPr>
      <w:rFonts w:hint="eastAsia"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4036</Words>
  <Characters>4319</Characters>
  <Lines>13</Lines>
  <Paragraphs>3</Paragraphs>
  <TotalTime>59</TotalTime>
  <ScaleCrop>false</ScaleCrop>
  <LinksUpToDate>false</LinksUpToDate>
  <CharactersWithSpaces>4603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2026-08-11T01:20:00Z</dcterms:created>
  <dc:creator>adam ye</dc:creator>
  <cp:lastModifiedBy>'ㅅ'</cp:lastModifiedBy>
  <dcterms:modified xsi:type="dcterms:W3CDTF">2026-09-20T03:33:54Z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89702522C9C54C8DB54E8FBE3B382E7A_13</vt:lpwstr>
  </property>
  <property fmtid="{D5CDD505-2E9C-101B-9397-08002B2CF9AE}" pid="4" name="KSOTemplateDocerSaveRecord">
    <vt:lpwstr>eyJoZGlkIjoiOGU0ZDNkZDY3OTMwNGUxZGJlOGE3ODIyNzJlZGU1MDciLCJ1c2VySWQiOiI1MDY0ODYwMDIifQ==</vt:lpwstr>
  </property>
</Properties>
</file>