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984100">
      <w:pPr>
        <w:spacing w:after="40"/>
        <w:jc w:val="center"/>
      </w:pPr>
      <w:r>
        <w:rPr>
          <w:rFonts w:hint="eastAsia" w:ascii="Cambria" w:hAnsi="Cambria" w:eastAsia="宋体"/>
          <w:b/>
          <w:color w:val="1A1A1A"/>
          <w:sz w:val="40"/>
          <w:lang w:val="en-US" w:eastAsia="zh-CN"/>
        </w:rPr>
        <w:t>GPPD维改</w:t>
      </w:r>
      <w:r>
        <w:rPr>
          <w:rFonts w:ascii="Cambria" w:hAnsi="Cambria" w:eastAsia="Noto Serif CJK SC"/>
          <w:b/>
          <w:color w:val="1A1A1A"/>
          <w:sz w:val="40"/>
        </w:rPr>
        <w:t>探测器数据网络系统集成服务</w:t>
      </w:r>
    </w:p>
    <w:p w14:paraId="77A1042B">
      <w:pPr>
        <w:spacing w:after="80"/>
        <w:jc w:val="center"/>
      </w:pPr>
      <w:r>
        <w:rPr>
          <w:rFonts w:ascii="Cambria" w:hAnsi="Cambria" w:eastAsia="Noto Serif CJK SC"/>
          <w:b/>
          <w:color w:val="1A1A1A"/>
          <w:sz w:val="32"/>
        </w:rPr>
        <w:t>采 购 需 求</w:t>
      </w:r>
    </w:p>
    <w:p w14:paraId="1D0252F2">
      <w:pPr>
        <w:spacing w:before="280" w:after="120"/>
      </w:pPr>
      <w:r>
        <w:rPr>
          <w:rFonts w:ascii="Cambria" w:hAnsi="Cambria" w:eastAsia="Noto Serif CJK SC"/>
          <w:b/>
          <w:color w:val="1A1A1A"/>
          <w:sz w:val="28"/>
        </w:rPr>
        <w:t>一、项目基本情况</w:t>
      </w:r>
    </w:p>
    <w:tbl>
      <w:tblPr>
        <w:tblStyle w:val="32"/>
        <w:tblW w:w="917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9"/>
        <w:gridCol w:w="4589"/>
      </w:tblGrid>
      <w:tr w14:paraId="583E04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89" w:type="dxa"/>
            <w:tcBorders>
              <w:top w:val="single" w:color="111111" w:sz="18" w:space="0"/>
              <w:bottom w:val="single" w:color="111111" w:sz="8" w:space="0"/>
            </w:tcBorders>
            <w:vAlign w:val="center"/>
          </w:tcPr>
          <w:p w14:paraId="702473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both"/>
              <w:textAlignment w:val="auto"/>
            </w:pPr>
            <w:r>
              <w:rPr>
                <w:rFonts w:ascii="Calibri" w:hAnsi="Calibri" w:eastAsia="Noto Sans CJK SC"/>
                <w:b/>
                <w:color w:val="1A1A1A"/>
                <w:sz w:val="21"/>
              </w:rPr>
              <w:t>项目</w:t>
            </w:r>
          </w:p>
        </w:tc>
        <w:tc>
          <w:tcPr>
            <w:tcW w:w="4589" w:type="dxa"/>
            <w:tcBorders>
              <w:top w:val="single" w:color="111111" w:sz="18" w:space="0"/>
              <w:bottom w:val="single" w:color="111111" w:sz="8" w:space="0"/>
            </w:tcBorders>
            <w:vAlign w:val="center"/>
          </w:tcPr>
          <w:p w14:paraId="430CA0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both"/>
              <w:textAlignment w:val="auto"/>
            </w:pPr>
            <w:r>
              <w:rPr>
                <w:rFonts w:ascii="Calibri" w:hAnsi="Calibri" w:eastAsia="Noto Sans CJK SC"/>
                <w:b/>
                <w:color w:val="1A1A1A"/>
                <w:sz w:val="21"/>
              </w:rPr>
              <w:t>内容</w:t>
            </w:r>
          </w:p>
        </w:tc>
      </w:tr>
      <w:tr w14:paraId="64CD92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89" w:type="dxa"/>
            <w:tcBorders>
              <w:top w:val="single" w:color="E3E3E3" w:sz="4" w:space="0"/>
            </w:tcBorders>
            <w:shd w:val="clear" w:color="auto" w:fill="F7F7F7"/>
            <w:vAlign w:val="center"/>
          </w:tcPr>
          <w:p w14:paraId="198368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both"/>
              <w:textAlignment w:val="auto"/>
            </w:pPr>
            <w:r>
              <w:rPr>
                <w:rFonts w:ascii="Calibri" w:hAnsi="Calibri" w:eastAsia="Noto Sans CJK SC"/>
                <w:b w:val="0"/>
                <w:color w:val="303030"/>
                <w:sz w:val="21"/>
              </w:rPr>
              <w:t>项目名称</w:t>
            </w:r>
          </w:p>
        </w:tc>
        <w:tc>
          <w:tcPr>
            <w:tcW w:w="4589" w:type="dxa"/>
            <w:tcBorders>
              <w:top w:val="single" w:color="E3E3E3" w:sz="4" w:space="0"/>
            </w:tcBorders>
            <w:shd w:val="clear" w:color="auto" w:fill="F7F7F7"/>
            <w:vAlign w:val="center"/>
          </w:tcPr>
          <w:p w14:paraId="789F36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both"/>
              <w:textAlignment w:val="auto"/>
            </w:pPr>
            <w:r>
              <w:rPr>
                <w:rFonts w:ascii="Calibri" w:hAnsi="Calibri" w:eastAsia="Noto Sans CJK SC"/>
                <w:b w:val="0"/>
                <w:color w:val="303030"/>
                <w:sz w:val="21"/>
              </w:rPr>
              <w:t>GPPD 谱仪探测器数据网络系统集成服务</w:t>
            </w:r>
          </w:p>
        </w:tc>
      </w:tr>
      <w:tr w14:paraId="3CAB84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89" w:type="dxa"/>
            <w:tcBorders>
              <w:top w:val="single" w:color="E3E3E3" w:sz="4" w:space="0"/>
            </w:tcBorders>
            <w:vAlign w:val="center"/>
          </w:tcPr>
          <w:p w14:paraId="780B46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both"/>
              <w:textAlignment w:val="auto"/>
            </w:pPr>
            <w:r>
              <w:rPr>
                <w:rFonts w:ascii="Calibri" w:hAnsi="Calibri" w:eastAsia="Noto Sans CJK SC"/>
                <w:b w:val="0"/>
                <w:color w:val="303030"/>
                <w:sz w:val="21"/>
              </w:rPr>
              <w:t>采购内容</w:t>
            </w:r>
          </w:p>
        </w:tc>
        <w:tc>
          <w:tcPr>
            <w:tcW w:w="4589" w:type="dxa"/>
            <w:tcBorders>
              <w:top w:val="single" w:color="E3E3E3" w:sz="4" w:space="0"/>
            </w:tcBorders>
            <w:vAlign w:val="center"/>
          </w:tcPr>
          <w:p w14:paraId="1DF219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both"/>
              <w:textAlignment w:val="auto"/>
            </w:pPr>
            <w:r>
              <w:rPr>
                <w:rFonts w:ascii="Calibri" w:hAnsi="Calibri" w:eastAsia="Noto Sans CJK SC"/>
                <w:b w:val="0"/>
                <w:color w:val="303030"/>
                <w:sz w:val="21"/>
              </w:rPr>
              <w:t>探测器数据网络系统的深化设计、设备材料供货、安装施工、系统配置、联调测试、竣工资料及质保服务，交钥匙总价包干</w:t>
            </w:r>
          </w:p>
        </w:tc>
      </w:tr>
      <w:tr w14:paraId="65BA29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89" w:type="dxa"/>
            <w:tcBorders>
              <w:top w:val="single" w:color="E3E3E3" w:sz="4" w:space="0"/>
            </w:tcBorders>
            <w:shd w:val="clear" w:color="auto" w:fill="F7F7F7"/>
            <w:vAlign w:val="center"/>
          </w:tcPr>
          <w:p w14:paraId="1BAE58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both"/>
              <w:textAlignment w:val="auto"/>
            </w:pPr>
            <w:r>
              <w:rPr>
                <w:rFonts w:ascii="Calibri" w:hAnsi="Calibri" w:eastAsia="Noto Sans CJK SC"/>
                <w:b w:val="0"/>
                <w:color w:val="303030"/>
                <w:sz w:val="21"/>
              </w:rPr>
              <w:t>实施地点</w:t>
            </w:r>
          </w:p>
        </w:tc>
        <w:tc>
          <w:tcPr>
            <w:tcW w:w="4589" w:type="dxa"/>
            <w:tcBorders>
              <w:top w:val="single" w:color="E3E3E3" w:sz="4" w:space="0"/>
            </w:tcBorders>
            <w:shd w:val="clear" w:color="auto" w:fill="F7F7F7"/>
            <w:vAlign w:val="center"/>
          </w:tcPr>
          <w:p w14:paraId="709E22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both"/>
              <w:textAlignment w:val="auto"/>
            </w:pPr>
            <w:r>
              <w:rPr>
                <w:rFonts w:ascii="Calibri" w:hAnsi="Calibri" w:eastAsia="Noto Sans CJK SC"/>
                <w:b w:val="0"/>
                <w:color w:val="303030"/>
                <w:sz w:val="21"/>
              </w:rPr>
              <w:t>广东省东莞市松山湖园区中子源路一号（场地内）</w:t>
            </w:r>
          </w:p>
        </w:tc>
      </w:tr>
      <w:tr w14:paraId="0C22C7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89" w:type="dxa"/>
            <w:tcBorders>
              <w:top w:val="single" w:color="E3E3E3" w:sz="4" w:space="0"/>
            </w:tcBorders>
            <w:vAlign w:val="center"/>
          </w:tcPr>
          <w:p w14:paraId="00D3FC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both"/>
              <w:textAlignment w:val="auto"/>
            </w:pPr>
            <w:r>
              <w:rPr>
                <w:rFonts w:ascii="Calibri" w:hAnsi="Calibri" w:eastAsia="Noto Sans CJK SC"/>
                <w:b w:val="0"/>
                <w:color w:val="303030"/>
                <w:sz w:val="21"/>
              </w:rPr>
              <w:t>工期</w:t>
            </w:r>
          </w:p>
        </w:tc>
        <w:tc>
          <w:tcPr>
            <w:tcW w:w="4589" w:type="dxa"/>
            <w:tcBorders>
              <w:top w:val="single" w:color="E3E3E3" w:sz="4" w:space="0"/>
            </w:tcBorders>
            <w:vAlign w:val="center"/>
          </w:tcPr>
          <w:p w14:paraId="1564BB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both"/>
              <w:textAlignment w:val="auto"/>
            </w:pPr>
            <w:r>
              <w:rPr>
                <w:rFonts w:ascii="Calibri" w:hAnsi="Calibri" w:eastAsia="Noto Sans CJK SC"/>
                <w:b w:val="0"/>
                <w:color w:val="303030"/>
                <w:sz w:val="21"/>
              </w:rPr>
              <w:t>合同签订后 30 个日历日内完成供货、施工、联调并提交验收申请</w:t>
            </w:r>
          </w:p>
        </w:tc>
      </w:tr>
      <w:tr w14:paraId="1174EC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89" w:type="dxa"/>
            <w:tcBorders>
              <w:top w:val="single" w:color="E3E3E3" w:sz="4" w:space="0"/>
            </w:tcBorders>
            <w:shd w:val="clear" w:color="auto" w:fill="F7F7F7"/>
            <w:vAlign w:val="center"/>
          </w:tcPr>
          <w:p w14:paraId="2E3F21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both"/>
              <w:textAlignment w:val="auto"/>
            </w:pPr>
            <w:r>
              <w:rPr>
                <w:rFonts w:ascii="Calibri" w:hAnsi="Calibri" w:eastAsia="Noto Sans CJK SC"/>
                <w:b w:val="0"/>
                <w:color w:val="303030"/>
                <w:sz w:val="21"/>
              </w:rPr>
              <w:t>质保期</w:t>
            </w:r>
          </w:p>
        </w:tc>
        <w:tc>
          <w:tcPr>
            <w:tcW w:w="4589" w:type="dxa"/>
            <w:tcBorders>
              <w:top w:val="single" w:color="E3E3E3" w:sz="4" w:space="0"/>
            </w:tcBorders>
            <w:shd w:val="clear" w:color="auto" w:fill="F7F7F7"/>
            <w:vAlign w:val="center"/>
          </w:tcPr>
          <w:p w14:paraId="0D7E3D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both"/>
              <w:textAlignment w:val="auto"/>
            </w:pPr>
            <w:r>
              <w:rPr>
                <w:rFonts w:ascii="Calibri" w:hAnsi="Calibri" w:eastAsia="Noto Sans CJK SC"/>
                <w:b w:val="0"/>
                <w:color w:val="303030"/>
                <w:sz w:val="21"/>
              </w:rPr>
              <w:t>竣工验收合格后 1 年</w:t>
            </w:r>
          </w:p>
        </w:tc>
      </w:tr>
    </w:tbl>
    <w:p w14:paraId="4518EE7A">
      <w:pPr>
        <w:spacing w:before="280" w:after="120"/>
      </w:pPr>
      <w:r>
        <w:rPr>
          <w:rFonts w:ascii="Cambria" w:hAnsi="Cambria" w:eastAsia="Noto Serif CJK SC"/>
          <w:b/>
          <w:color w:val="1A1A1A"/>
          <w:sz w:val="28"/>
        </w:rPr>
        <w:t>二、项目概况与系统构成</w:t>
      </w:r>
    </w:p>
    <w:p w14:paraId="13001CEA">
      <w:pPr>
        <w:spacing w:after="120" w:line="336" w:lineRule="auto"/>
        <w:ind w:firstLine="440"/>
      </w:pPr>
      <w:r>
        <w:rPr>
          <w:rFonts w:ascii="Calibri" w:hAnsi="Calibri" w:eastAsia="Noto Sans CJK SC"/>
          <w:b/>
          <w:color w:val="303030"/>
          <w:sz w:val="22"/>
        </w:rPr>
        <w:t>2.1　建设范围。</w:t>
      </w:r>
      <w:r>
        <w:rPr>
          <w:rFonts w:ascii="Calibri" w:hAnsi="Calibri" w:eastAsia="Noto Sans CJK SC"/>
          <w:b w:val="0"/>
          <w:color w:val="303030"/>
          <w:sz w:val="22"/>
        </w:rPr>
        <w:t>GPPD 谱仪的探测器电子学数据由控制机房内 4 台数据获取（DAQ）服务器集中采集。本项目建设从探测器实验大厅至控制机房的光纤数据网络，并完成 DAQ 服务器管理端口接入谱仪公用网络。建成后应实现 240 路探测器读出数据无阻塞送达服务器侧接口。</w:t>
      </w:r>
    </w:p>
    <w:p w14:paraId="29FF6289">
      <w:pPr>
        <w:spacing w:after="120" w:line="336" w:lineRule="auto"/>
        <w:ind w:firstLine="440"/>
      </w:pPr>
      <w:r>
        <w:rPr>
          <w:rFonts w:ascii="Calibri" w:hAnsi="Calibri" w:eastAsia="Noto Sans CJK SC"/>
          <w:b/>
          <w:color w:val="303030"/>
          <w:sz w:val="22"/>
        </w:rPr>
        <w:t>2.2　系统构成。</w:t>
      </w:r>
      <w:r>
        <w:rPr>
          <w:rFonts w:ascii="Calibri" w:hAnsi="Calibri" w:eastAsia="Noto Sans CJK SC"/>
          <w:b w:val="0"/>
          <w:color w:val="303030"/>
          <w:sz w:val="22"/>
        </w:rPr>
        <w:t>实验大厅内探测器 24 台，按谱仪支架分 6 组安装，每台支架 4 台探测器。每台探测器内含电子学 10 套，每套电子学提供 1 个千兆以太网数据接口（UDP 数据流），合计 240 路。每台探测器以 1 根 MPO 光缆外部引出（模块内部汇聚 10 路），经采购人配置的 MPO-LC 分支跳线分出 10 路 LC 光纤，接入本支架下方的接入交换机。</w:t>
      </w:r>
    </w:p>
    <w:p w14:paraId="5114583E">
      <w:pPr>
        <w:spacing w:after="120" w:line="336" w:lineRule="auto"/>
        <w:ind w:firstLine="440"/>
      </w:pPr>
      <w:r>
        <w:rPr>
          <w:rFonts w:ascii="Calibri" w:hAnsi="Calibri" w:eastAsia="Noto Sans CJK SC"/>
          <w:b w:val="0"/>
          <w:color w:val="303030"/>
          <w:sz w:val="22"/>
        </w:rPr>
        <w:t>每台支架下方设接入交换机 2 台，承接本支架 40 路千兆光纤接入，并保留万兆上行能力，大厅共 12 台。每台接入交换机以 1 条万兆链路上行至大厅汇聚交换机（1 台），共 12 条上联链路。</w:t>
      </w:r>
    </w:p>
    <w:p w14:paraId="0505180D">
      <w:pPr>
        <w:spacing w:after="120" w:line="336" w:lineRule="auto"/>
        <w:ind w:firstLine="440"/>
      </w:pPr>
      <w:r>
        <w:rPr>
          <w:rFonts w:ascii="Calibri" w:hAnsi="Calibri" w:eastAsia="Noto Sans CJK SC"/>
          <w:b w:val="0"/>
          <w:color w:val="303030"/>
          <w:sz w:val="22"/>
        </w:rPr>
        <w:t>大厅汇聚交换机出 2 路万兆至大厅外光纤接续箱。大厅至接续箱段（约 50 米）新敷铠装光缆；接续箱至控制机房段（约 30 米）光缆已敷设到位，由成交供应商负责两缆在箱内熔接接续，并完成机房侧成端连接。</w:t>
      </w:r>
    </w:p>
    <w:p w14:paraId="776CF5D6">
      <w:pPr>
        <w:spacing w:after="120" w:line="336" w:lineRule="auto"/>
        <w:ind w:firstLine="440"/>
      </w:pPr>
      <w:r>
        <w:rPr>
          <w:rFonts w:ascii="Calibri" w:hAnsi="Calibri" w:eastAsia="Noto Sans CJK SC"/>
          <w:b w:val="0"/>
          <w:color w:val="303030"/>
          <w:sz w:val="22"/>
        </w:rPr>
        <w:t>控制机房设汇聚交换机、上行交换机各 1 台。汇聚交换机接续从接续箱引入的两路光纤，以下行 4 条万兆链路分别连接 4 台 DAQ 服务器的万兆数据口；上行交换机连接 4 台 DAQ 服务器的第二个万兆口，并以 1 条万兆链路上联谱仪公用网络。</w:t>
      </w:r>
    </w:p>
    <w:p w14:paraId="7BDF6AA8">
      <w:pPr>
        <w:spacing w:after="120" w:line="336" w:lineRule="auto"/>
        <w:ind w:firstLine="440"/>
      </w:pPr>
      <w:r>
        <w:rPr>
          <w:rFonts w:ascii="Calibri" w:hAnsi="Calibri" w:eastAsia="Noto Sans CJK SC"/>
          <w:b/>
          <w:color w:val="303030"/>
          <w:sz w:val="22"/>
        </w:rPr>
        <w:t>2.3　网络规划。</w:t>
      </w:r>
      <w:r>
        <w:rPr>
          <w:rFonts w:ascii="Calibri" w:hAnsi="Calibri" w:eastAsia="Noto Sans CJK SC"/>
          <w:b w:val="0"/>
          <w:color w:val="303030"/>
          <w:sz w:val="22"/>
        </w:rPr>
        <w:t>探测器数据网为独立私有网络（192 网段），与谱仪公用网（10.1.38 网段）相互隔离。全网至少规划数据、设备管理、公用网三类 VLAN，具体方案由供应商深化设计后报采购人审定。</w:t>
      </w:r>
    </w:p>
    <w:p w14:paraId="45FF6FDD">
      <w:pPr>
        <w:spacing w:after="120" w:line="336" w:lineRule="auto"/>
        <w:ind w:firstLine="440"/>
      </w:pPr>
      <w:r>
        <w:rPr>
          <w:rFonts w:ascii="Calibri" w:hAnsi="Calibri" w:eastAsia="Noto Sans CJK SC"/>
          <w:b/>
          <w:color w:val="303030"/>
          <w:sz w:val="22"/>
        </w:rPr>
        <w:t>2.4　采购人提供条件。</w:t>
      </w:r>
      <w:r>
        <w:rPr>
          <w:rFonts w:ascii="Calibri" w:hAnsi="Calibri" w:eastAsia="Noto Sans CJK SC"/>
          <w:b w:val="0"/>
          <w:color w:val="303030"/>
          <w:sz w:val="22"/>
        </w:rPr>
        <w:t>MPO-LC 分支跳线 24 根（已采购）、探测器内部光模块（随探测器内置）、光纤接续箱（已就位）、接续箱至控制机房铠装光缆（已敷设）、实验大厅及控制机房 19 英寸机柜、机房供电与散热条件。其余全部由成交供应商提供。</w:t>
      </w:r>
    </w:p>
    <w:p w14:paraId="16D42A5C">
      <w:pPr>
        <w:spacing w:before="280" w:after="120"/>
      </w:pPr>
      <w:r>
        <w:rPr>
          <w:rFonts w:ascii="Cambria" w:hAnsi="Cambria" w:eastAsia="Noto Serif CJK SC"/>
          <w:b/>
          <w:color w:val="1A1A1A"/>
          <w:sz w:val="28"/>
        </w:rPr>
        <w:t>三、工作内容与技术要求</w:t>
      </w:r>
    </w:p>
    <w:p w14:paraId="6CBA32BB">
      <w:pPr>
        <w:spacing w:after="120" w:line="336" w:lineRule="auto"/>
        <w:ind w:firstLine="440"/>
      </w:pPr>
      <w:r>
        <w:rPr>
          <w:rFonts w:ascii="Calibri" w:hAnsi="Calibri" w:eastAsia="Noto Sans CJK SC"/>
          <w:b/>
          <w:color w:val="303030"/>
          <w:sz w:val="22"/>
        </w:rPr>
        <w:t>3.1　深化设计。</w:t>
      </w:r>
      <w:r>
        <w:rPr>
          <w:rFonts w:ascii="Calibri" w:hAnsi="Calibri" w:eastAsia="Noto Sans CJK SC"/>
          <w:b w:val="0"/>
          <w:color w:val="303030"/>
          <w:sz w:val="22"/>
        </w:rPr>
        <w:t>成交供应商应在开工前完成网络拓扑、机柜布置、光缆路由及防护、VLAN 与 IP 地址分配、标识体系的详细设计，成果书面报采购人，审定通过后方可施工。设计不得偏离本需求，确需偏离的应经采购人书面同意。</w:t>
      </w:r>
    </w:p>
    <w:p w14:paraId="600CE6DA">
      <w:pPr>
        <w:spacing w:after="120" w:line="336" w:lineRule="auto"/>
        <w:ind w:firstLine="440"/>
      </w:pPr>
      <w:r>
        <w:rPr>
          <w:rFonts w:ascii="Calibri" w:hAnsi="Calibri" w:eastAsia="Noto Sans CJK SC"/>
          <w:b/>
          <w:color w:val="303030"/>
          <w:sz w:val="22"/>
        </w:rPr>
        <w:t>3.2　供货。</w:t>
      </w:r>
      <w:r>
        <w:rPr>
          <w:rFonts w:ascii="Calibri" w:hAnsi="Calibri" w:eastAsia="Noto Sans CJK SC"/>
          <w:b w:val="0"/>
          <w:color w:val="303030"/>
          <w:sz w:val="22"/>
        </w:rPr>
        <w:t>按第四章清单供货，并自备理线架、适配器面板及耦合器、魔术贴扎带、管材桥架附件、标签材料等辅材；含包装、运输、卸货及到场后保管。设备及光模块须为原厂全新正品。</w:t>
      </w:r>
    </w:p>
    <w:p w14:paraId="6343D1FD">
      <w:pPr>
        <w:spacing w:after="120" w:line="336" w:lineRule="auto"/>
        <w:ind w:firstLine="440"/>
      </w:pPr>
      <w:r>
        <w:rPr>
          <w:rFonts w:ascii="Calibri" w:hAnsi="Calibri" w:eastAsia="Noto Sans CJK SC"/>
          <w:b/>
          <w:color w:val="303030"/>
          <w:sz w:val="22"/>
        </w:rPr>
        <w:t>3.3　安装。</w:t>
      </w:r>
      <w:r>
        <w:rPr>
          <w:rFonts w:ascii="Calibri" w:hAnsi="Calibri" w:eastAsia="Noto Sans CJK SC"/>
          <w:b w:val="0"/>
          <w:color w:val="303030"/>
          <w:sz w:val="22"/>
        </w:rPr>
        <w:t>15 台交换机在实验大厅及控制机房机柜内上架安装，配置理线设施，线缆敷设绑扎整齐、走向清晰。</w:t>
      </w:r>
    </w:p>
    <w:p w14:paraId="6F2FEC15">
      <w:pPr>
        <w:spacing w:after="120" w:line="336" w:lineRule="auto"/>
        <w:ind w:firstLine="440"/>
      </w:pPr>
      <w:r>
        <w:rPr>
          <w:rFonts w:ascii="Calibri" w:hAnsi="Calibri" w:eastAsia="Noto Sans CJK SC"/>
          <w:b/>
          <w:color w:val="303030"/>
          <w:sz w:val="22"/>
        </w:rPr>
        <w:t>3.4　光缆敷设与熔接成端。</w:t>
      </w:r>
      <w:r>
        <w:rPr>
          <w:rFonts w:ascii="Calibri" w:hAnsi="Calibri" w:eastAsia="Noto Sans CJK SC"/>
          <w:b w:val="0"/>
          <w:color w:val="303030"/>
          <w:sz w:val="22"/>
        </w:rPr>
        <w:t>新敷铠装光缆沿既有管道或桥架敷设，不得裸露拉伸，弯曲半径符合光缆规范要求；光缆在接续箱内与既有光缆熔接接续，余纤盘留规范；机房侧完成成端。单点熔接损耗不大于 0.1 dB。</w:t>
      </w:r>
    </w:p>
    <w:p w14:paraId="3ACB838A">
      <w:pPr>
        <w:spacing w:after="120" w:line="336" w:lineRule="auto"/>
        <w:ind w:firstLine="440"/>
      </w:pPr>
      <w:r>
        <w:rPr>
          <w:rFonts w:ascii="Calibri" w:hAnsi="Calibri" w:eastAsia="Noto Sans CJK SC"/>
          <w:b/>
          <w:color w:val="303030"/>
          <w:sz w:val="22"/>
        </w:rPr>
        <w:t>3.5　标识。</w:t>
      </w:r>
      <w:r>
        <w:rPr>
          <w:rFonts w:ascii="Calibri" w:hAnsi="Calibri" w:eastAsia="Noto Sans CJK SC"/>
          <w:b w:val="0"/>
          <w:color w:val="303030"/>
          <w:sz w:val="22"/>
        </w:rPr>
        <w:t>全部光缆及跳线两端、两端设备端口加贴打印耐久标签，防潮、耐晒、不脱落；标签编号与竣工配线表一一对应。</w:t>
      </w:r>
    </w:p>
    <w:p w14:paraId="7B847C1D">
      <w:pPr>
        <w:spacing w:after="120" w:line="336" w:lineRule="auto"/>
        <w:ind w:firstLine="440"/>
      </w:pPr>
      <w:r>
        <w:rPr>
          <w:rFonts w:ascii="Calibri" w:hAnsi="Calibri" w:eastAsia="Noto Sans CJK SC"/>
          <w:b/>
          <w:color w:val="303030"/>
          <w:sz w:val="22"/>
        </w:rPr>
        <w:t>3.6　系统配置。</w:t>
      </w:r>
      <w:r>
        <w:rPr>
          <w:rFonts w:ascii="Calibri" w:hAnsi="Calibri" w:eastAsia="Noto Sans CJK SC"/>
          <w:b w:val="0"/>
          <w:color w:val="303030"/>
          <w:sz w:val="22"/>
        </w:rPr>
        <w:t>完成 15 台交换机的 VLAN、端口、链路聚合、IGMP 监听及设备管理等全部配置，输出一份完整的配置文档并归档。</w:t>
      </w:r>
    </w:p>
    <w:p w14:paraId="74040988">
      <w:pPr>
        <w:spacing w:after="120" w:line="336" w:lineRule="auto"/>
        <w:ind w:firstLine="440"/>
      </w:pPr>
      <w:r>
        <w:rPr>
          <w:rFonts w:ascii="Calibri" w:hAnsi="Calibri" w:eastAsia="Noto Sans CJK SC"/>
          <w:b/>
          <w:color w:val="303030"/>
          <w:sz w:val="22"/>
        </w:rPr>
        <w:t>3.7　联调与测试。</w:t>
      </w:r>
      <w:r>
        <w:rPr>
          <w:rFonts w:ascii="Calibri" w:hAnsi="Calibri" w:eastAsia="Noto Sans CJK SC"/>
          <w:b w:val="0"/>
          <w:color w:val="303030"/>
          <w:sz w:val="22"/>
        </w:rPr>
        <w:t>下列测试不依赖探测器状态，由成交供应商自备测试设备完成：</w:t>
      </w:r>
    </w:p>
    <w:p w14:paraId="094D5459">
      <w:pPr>
        <w:spacing w:after="120" w:line="336" w:lineRule="auto"/>
        <w:ind w:firstLine="440"/>
      </w:pPr>
      <w:r>
        <w:rPr>
          <w:rFonts w:ascii="Calibri" w:hAnsi="Calibri" w:eastAsia="Noto Sans CJK SC"/>
          <w:b w:val="0"/>
          <w:color w:val="303030"/>
          <w:sz w:val="22"/>
        </w:rPr>
        <w:t>（1）两条新敷铠装光缆端到端测试，出具测试报告；</w:t>
      </w:r>
    </w:p>
    <w:p w14:paraId="35D90FFA">
      <w:pPr>
        <w:spacing w:after="120" w:line="336" w:lineRule="auto"/>
        <w:ind w:firstLine="440"/>
      </w:pPr>
      <w:r>
        <w:rPr>
          <w:rFonts w:ascii="Calibri" w:hAnsi="Calibri" w:eastAsia="Noto Sans CJK SC"/>
          <w:b w:val="0"/>
          <w:color w:val="303030"/>
          <w:sz w:val="22"/>
        </w:rPr>
        <w:t>（2）其余全部光纤链路光功率核查；</w:t>
      </w:r>
    </w:p>
    <w:p w14:paraId="7453CE9B">
      <w:pPr>
        <w:spacing w:after="120" w:line="336" w:lineRule="auto"/>
        <w:ind w:firstLine="440"/>
      </w:pPr>
      <w:r>
        <w:rPr>
          <w:rFonts w:ascii="Calibri" w:hAnsi="Calibri" w:eastAsia="Noto Sans CJK SC"/>
          <w:b w:val="0"/>
          <w:color w:val="303030"/>
          <w:sz w:val="22"/>
        </w:rPr>
        <w:t>（3）交换机全部端口逐口功能测试：链路连通、VLAN、自协商速率；</w:t>
      </w:r>
    </w:p>
    <w:p w14:paraId="4056C706">
      <w:pPr>
        <w:spacing w:after="120" w:line="336" w:lineRule="auto"/>
        <w:ind w:firstLine="440"/>
      </w:pPr>
      <w:r>
        <w:rPr>
          <w:rFonts w:ascii="Calibri" w:hAnsi="Calibri" w:eastAsia="Noto Sans CJK SC"/>
          <w:b w:val="0"/>
          <w:color w:val="303030"/>
          <w:sz w:val="22"/>
        </w:rPr>
        <w:t>（4）端到端转发测试：供应商测试终端自每台接入交换机端口逐个发送数据，经接入、汇聚、接续箱、机房链路的完整路径，至服务器侧接口接收，240 路逐一测试，零丢包为合格；</w:t>
      </w:r>
    </w:p>
    <w:p w14:paraId="625B70A5">
      <w:pPr>
        <w:spacing w:after="120" w:line="336" w:lineRule="auto"/>
        <w:ind w:firstLine="440"/>
      </w:pPr>
      <w:r>
        <w:rPr>
          <w:rFonts w:ascii="Calibri" w:hAnsi="Calibri" w:eastAsia="Noto Sans CJK SC"/>
          <w:b w:val="0"/>
          <w:color w:val="303030"/>
          <w:sz w:val="22"/>
        </w:rPr>
        <w:t>（5）上行交换机至谱仪公用网连通性测试。</w:t>
      </w:r>
    </w:p>
    <w:p w14:paraId="2843B8C3">
      <w:pPr>
        <w:spacing w:after="120" w:line="336" w:lineRule="auto"/>
        <w:ind w:firstLine="440"/>
      </w:pPr>
      <w:r>
        <w:rPr>
          <w:rFonts w:ascii="Calibri" w:hAnsi="Calibri" w:eastAsia="Noto Sans CJK SC"/>
          <w:b w:val="0"/>
          <w:color w:val="303030"/>
          <w:sz w:val="22"/>
        </w:rPr>
        <w:t>开工前提交测试方案报审，测试记录作为验收附件。</w:t>
      </w:r>
    </w:p>
    <w:p w14:paraId="5D458A9F">
      <w:pPr>
        <w:spacing w:after="120" w:line="336" w:lineRule="auto"/>
        <w:ind w:firstLine="440"/>
      </w:pPr>
      <w:r>
        <w:rPr>
          <w:rFonts w:ascii="Calibri" w:hAnsi="Calibri" w:eastAsia="Noto Sans CJK SC"/>
          <w:b/>
          <w:color w:val="303030"/>
          <w:sz w:val="22"/>
        </w:rPr>
        <w:t>3.8　竣工资料。</w:t>
      </w:r>
      <w:r>
        <w:rPr>
          <w:rFonts w:ascii="Calibri" w:hAnsi="Calibri" w:eastAsia="Noto Sans CJK SC"/>
          <w:b w:val="0"/>
          <w:color w:val="303030"/>
          <w:sz w:val="22"/>
        </w:rPr>
        <w:t>验收后 7 日内移交：网络拓扑图、配线表（含标签对照）、交换机配置文件全集、测试报告，电子版与纸质版各一套。</w:t>
      </w:r>
    </w:p>
    <w:p w14:paraId="7B64C844">
      <w:pPr>
        <w:spacing w:after="120" w:line="336" w:lineRule="auto"/>
        <w:ind w:firstLine="440"/>
      </w:pPr>
      <w:r>
        <w:rPr>
          <w:rFonts w:ascii="Calibri" w:hAnsi="Calibri" w:eastAsia="Noto Sans CJK SC"/>
          <w:b/>
          <w:color w:val="303030"/>
          <w:sz w:val="22"/>
        </w:rPr>
        <w:t>3.9　现场要求。</w:t>
      </w:r>
      <w:r>
        <w:rPr>
          <w:rFonts w:ascii="Calibri" w:hAnsi="Calibri" w:eastAsia="Noto Sans CJK SC"/>
          <w:b w:val="0"/>
          <w:color w:val="303030"/>
          <w:sz w:val="22"/>
        </w:rPr>
        <w:t>施工场地位于大科学装置区内，成交供应商应遵守采购人安全管理规定，施工不得影响现场设备正常运行，作业时段事先报采购人确认。供应商自行踏勘，费用计入报价。</w:t>
      </w:r>
    </w:p>
    <w:p w14:paraId="1633F647">
      <w:pPr>
        <w:spacing w:after="120" w:line="336" w:lineRule="auto"/>
        <w:ind w:firstLine="440"/>
      </w:pPr>
      <w:r>
        <w:rPr>
          <w:rFonts w:ascii="Calibri" w:hAnsi="Calibri" w:eastAsia="Noto Sans CJK SC"/>
          <w:b/>
          <w:color w:val="303030"/>
          <w:sz w:val="22"/>
        </w:rPr>
        <w:t>3.10　质保。</w:t>
      </w:r>
      <w:r>
        <w:rPr>
          <w:rFonts w:ascii="Calibri" w:hAnsi="Calibri" w:eastAsia="Noto Sans CJK SC"/>
          <w:b w:val="0"/>
          <w:color w:val="303030"/>
          <w:sz w:val="22"/>
        </w:rPr>
        <w:t>质保期 1 年。期内非人为损坏免费维修并含更换备件；接到故障通知后 2 小时内远程响应，需到场的 24 小时内到场。</w:t>
      </w:r>
    </w:p>
    <w:p w14:paraId="6FAD6336">
      <w:pPr>
        <w:spacing w:before="280" w:after="120"/>
      </w:pPr>
      <w:r>
        <w:rPr>
          <w:rFonts w:ascii="Cambria" w:hAnsi="Cambria" w:eastAsia="Noto Serif CJK SC"/>
          <w:b/>
          <w:color w:val="1A1A1A"/>
          <w:sz w:val="28"/>
        </w:rPr>
        <w:t>四、设备材料清单</w:t>
      </w:r>
    </w:p>
    <w:tbl>
      <w:tblPr>
        <w:tblStyle w:val="32"/>
        <w:tblW w:w="895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0"/>
        <w:gridCol w:w="1530"/>
        <w:gridCol w:w="1530"/>
        <w:gridCol w:w="1530"/>
        <w:gridCol w:w="1530"/>
        <w:gridCol w:w="1530"/>
      </w:tblGrid>
      <w:tr w14:paraId="630B87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tcBorders>
              <w:top w:val="single" w:color="111111" w:sz="18" w:space="0"/>
              <w:bottom w:val="single" w:color="111111" w:sz="8" w:space="0"/>
            </w:tcBorders>
            <w:vAlign w:val="center"/>
          </w:tcPr>
          <w:p w14:paraId="713E7858">
            <w:pPr>
              <w:jc w:val="center"/>
            </w:pPr>
            <w:r>
              <w:rPr>
                <w:rFonts w:ascii="Calibri" w:hAnsi="Calibri" w:eastAsia="Noto Sans CJK SC"/>
                <w:b/>
                <w:color w:val="1A1A1A"/>
                <w:sz w:val="19"/>
              </w:rPr>
              <w:t>序号</w:t>
            </w:r>
          </w:p>
        </w:tc>
        <w:tc>
          <w:tcPr>
            <w:tcW w:w="1361" w:type="dxa"/>
            <w:tcBorders>
              <w:top w:val="single" w:color="111111" w:sz="18" w:space="0"/>
              <w:bottom w:val="single" w:color="111111" w:sz="8" w:space="0"/>
            </w:tcBorders>
            <w:vAlign w:val="center"/>
          </w:tcPr>
          <w:p w14:paraId="3E92001C">
            <w:pPr>
              <w:jc w:val="center"/>
            </w:pPr>
            <w:r>
              <w:rPr>
                <w:rFonts w:ascii="Calibri" w:hAnsi="Calibri" w:eastAsia="Noto Sans CJK SC"/>
                <w:b/>
                <w:color w:val="1A1A1A"/>
                <w:sz w:val="19"/>
              </w:rPr>
              <w:t>名称</w:t>
            </w:r>
          </w:p>
        </w:tc>
        <w:tc>
          <w:tcPr>
            <w:tcW w:w="3742" w:type="dxa"/>
            <w:tcBorders>
              <w:top w:val="single" w:color="111111" w:sz="18" w:space="0"/>
              <w:bottom w:val="single" w:color="111111" w:sz="8" w:space="0"/>
            </w:tcBorders>
            <w:vAlign w:val="center"/>
          </w:tcPr>
          <w:p w14:paraId="407C6C9E">
            <w:pPr>
              <w:jc w:val="center"/>
            </w:pPr>
            <w:r>
              <w:rPr>
                <w:rFonts w:ascii="Calibri" w:hAnsi="Calibri" w:eastAsia="Noto Sans CJK SC"/>
                <w:b/>
                <w:color w:val="1A1A1A"/>
                <w:sz w:val="19"/>
              </w:rPr>
              <w:t>规格型号</w:t>
            </w:r>
          </w:p>
        </w:tc>
        <w:tc>
          <w:tcPr>
            <w:tcW w:w="567" w:type="dxa"/>
            <w:tcBorders>
              <w:top w:val="single" w:color="111111" w:sz="18" w:space="0"/>
              <w:bottom w:val="single" w:color="111111" w:sz="8" w:space="0"/>
            </w:tcBorders>
            <w:vAlign w:val="center"/>
          </w:tcPr>
          <w:p w14:paraId="1643C7B9">
            <w:pPr>
              <w:jc w:val="center"/>
            </w:pPr>
            <w:r>
              <w:rPr>
                <w:rFonts w:ascii="Calibri" w:hAnsi="Calibri" w:eastAsia="Noto Sans CJK SC"/>
                <w:b/>
                <w:color w:val="1A1A1A"/>
                <w:sz w:val="19"/>
              </w:rPr>
              <w:t>单位</w:t>
            </w:r>
          </w:p>
        </w:tc>
        <w:tc>
          <w:tcPr>
            <w:tcW w:w="567" w:type="dxa"/>
            <w:tcBorders>
              <w:top w:val="single" w:color="111111" w:sz="18" w:space="0"/>
              <w:bottom w:val="single" w:color="111111" w:sz="8" w:space="0"/>
            </w:tcBorders>
            <w:vAlign w:val="center"/>
          </w:tcPr>
          <w:p w14:paraId="5C3520F6">
            <w:pPr>
              <w:jc w:val="center"/>
            </w:pPr>
            <w:r>
              <w:rPr>
                <w:rFonts w:ascii="Calibri" w:hAnsi="Calibri" w:eastAsia="Noto Sans CJK SC"/>
                <w:b/>
                <w:color w:val="1A1A1A"/>
                <w:sz w:val="19"/>
              </w:rPr>
              <w:t>数量</w:t>
            </w:r>
          </w:p>
        </w:tc>
        <w:tc>
          <w:tcPr>
            <w:tcW w:w="2154" w:type="dxa"/>
            <w:tcBorders>
              <w:top w:val="single" w:color="111111" w:sz="18" w:space="0"/>
              <w:bottom w:val="single" w:color="111111" w:sz="8" w:space="0"/>
            </w:tcBorders>
            <w:vAlign w:val="center"/>
          </w:tcPr>
          <w:p w14:paraId="093D370C">
            <w:pPr>
              <w:jc w:val="center"/>
            </w:pPr>
            <w:r>
              <w:rPr>
                <w:rFonts w:ascii="Calibri" w:hAnsi="Calibri" w:eastAsia="Noto Sans CJK SC"/>
                <w:b/>
                <w:color w:val="1A1A1A"/>
                <w:sz w:val="19"/>
              </w:rPr>
              <w:t>备注</w:t>
            </w:r>
          </w:p>
        </w:tc>
      </w:tr>
      <w:tr w14:paraId="20B1E4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tcBorders>
              <w:top w:val="single" w:color="E3E3E3" w:sz="4" w:space="0"/>
            </w:tcBorders>
            <w:shd w:val="clear" w:color="auto" w:fill="F7F7F7"/>
            <w:vAlign w:val="center"/>
          </w:tcPr>
          <w:p w14:paraId="37879388">
            <w:pPr>
              <w:jc w:val="center"/>
            </w:pPr>
            <w:r>
              <w:rPr>
                <w:rFonts w:ascii="Calibri" w:hAnsi="Calibri" w:eastAsia="Noto Sans CJK SC"/>
                <w:b w:val="0"/>
                <w:color w:val="303030"/>
                <w:sz w:val="19"/>
              </w:rPr>
              <w:t>1</w:t>
            </w:r>
          </w:p>
        </w:tc>
        <w:tc>
          <w:tcPr>
            <w:tcW w:w="1361" w:type="dxa"/>
            <w:tcBorders>
              <w:top w:val="single" w:color="E3E3E3" w:sz="4" w:space="0"/>
            </w:tcBorders>
            <w:shd w:val="clear" w:color="auto" w:fill="F7F7F7"/>
            <w:vAlign w:val="center"/>
          </w:tcPr>
          <w:p w14:paraId="7EA1C519">
            <w:r>
              <w:rPr>
                <w:rFonts w:ascii="Calibri" w:hAnsi="Calibri" w:eastAsia="Noto Sans CJK SC"/>
                <w:b w:val="0"/>
                <w:color w:val="303030"/>
                <w:sz w:val="19"/>
              </w:rPr>
              <w:t>接入交换机</w:t>
            </w:r>
          </w:p>
        </w:tc>
        <w:tc>
          <w:tcPr>
            <w:tcW w:w="3742" w:type="dxa"/>
            <w:tcBorders>
              <w:top w:val="single" w:color="E3E3E3" w:sz="4" w:space="0"/>
            </w:tcBorders>
            <w:shd w:val="clear" w:color="auto" w:fill="F7F7F7"/>
            <w:vAlign w:val="center"/>
          </w:tcPr>
          <w:p w14:paraId="3F7605A4">
            <w:r>
              <w:rPr>
                <w:rFonts w:ascii="Calibri" w:hAnsi="Calibri" w:eastAsia="Noto Sans CJK SC"/>
                <w:b w:val="0"/>
                <w:color w:val="303030"/>
                <w:sz w:val="19"/>
              </w:rPr>
              <w:t>24 口万兆 SFP+（兼容千兆 SFP），H3C S6520-24S-SI 或同档次国产，含上架套件</w:t>
            </w:r>
          </w:p>
        </w:tc>
        <w:tc>
          <w:tcPr>
            <w:tcW w:w="567" w:type="dxa"/>
            <w:tcBorders>
              <w:top w:val="single" w:color="E3E3E3" w:sz="4" w:space="0"/>
            </w:tcBorders>
            <w:shd w:val="clear" w:color="auto" w:fill="F7F7F7"/>
            <w:vAlign w:val="center"/>
          </w:tcPr>
          <w:p w14:paraId="63E91DB3">
            <w:pPr>
              <w:jc w:val="center"/>
            </w:pPr>
            <w:r>
              <w:rPr>
                <w:rFonts w:ascii="Calibri" w:hAnsi="Calibri" w:eastAsia="Noto Sans CJK SC"/>
                <w:b w:val="0"/>
                <w:color w:val="303030"/>
                <w:sz w:val="19"/>
              </w:rPr>
              <w:t>台</w:t>
            </w:r>
          </w:p>
        </w:tc>
        <w:tc>
          <w:tcPr>
            <w:tcW w:w="567" w:type="dxa"/>
            <w:tcBorders>
              <w:top w:val="single" w:color="E3E3E3" w:sz="4" w:space="0"/>
            </w:tcBorders>
            <w:shd w:val="clear" w:color="auto" w:fill="F7F7F7"/>
            <w:vAlign w:val="center"/>
          </w:tcPr>
          <w:p w14:paraId="41B1132E">
            <w:pPr>
              <w:jc w:val="center"/>
            </w:pPr>
            <w:r>
              <w:rPr>
                <w:rFonts w:ascii="Calibri" w:hAnsi="Calibri" w:eastAsia="Noto Sans CJK SC"/>
                <w:b w:val="0"/>
                <w:color w:val="303030"/>
                <w:sz w:val="19"/>
              </w:rPr>
              <w:t>12</w:t>
            </w:r>
          </w:p>
        </w:tc>
        <w:tc>
          <w:tcPr>
            <w:tcW w:w="2154" w:type="dxa"/>
            <w:tcBorders>
              <w:top w:val="single" w:color="E3E3E3" w:sz="4" w:space="0"/>
            </w:tcBorders>
            <w:shd w:val="clear" w:color="auto" w:fill="F7F7F7"/>
            <w:vAlign w:val="center"/>
          </w:tcPr>
          <w:p w14:paraId="77687539">
            <w:r>
              <w:rPr>
                <w:rFonts w:ascii="Calibri" w:hAnsi="Calibri" w:eastAsia="Noto Sans CJK SC"/>
                <w:b w:val="0"/>
                <w:color w:val="303030"/>
                <w:sz w:val="19"/>
              </w:rPr>
              <w:t>实验大厅 6 组支架，每组 2 台</w:t>
            </w:r>
          </w:p>
        </w:tc>
      </w:tr>
      <w:tr w14:paraId="02E399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tcBorders>
              <w:top w:val="single" w:color="E3E3E3" w:sz="4" w:space="0"/>
            </w:tcBorders>
            <w:vAlign w:val="center"/>
          </w:tcPr>
          <w:p w14:paraId="4AB6FE07">
            <w:pPr>
              <w:jc w:val="center"/>
            </w:pPr>
            <w:r>
              <w:rPr>
                <w:rFonts w:ascii="Calibri" w:hAnsi="Calibri" w:eastAsia="Noto Sans CJK SC"/>
                <w:b w:val="0"/>
                <w:color w:val="303030"/>
                <w:sz w:val="19"/>
              </w:rPr>
              <w:t>2</w:t>
            </w:r>
          </w:p>
        </w:tc>
        <w:tc>
          <w:tcPr>
            <w:tcW w:w="1361" w:type="dxa"/>
            <w:tcBorders>
              <w:top w:val="single" w:color="E3E3E3" w:sz="4" w:space="0"/>
            </w:tcBorders>
            <w:vAlign w:val="center"/>
          </w:tcPr>
          <w:p w14:paraId="15774F06">
            <w:r>
              <w:rPr>
                <w:rFonts w:ascii="Calibri" w:hAnsi="Calibri" w:eastAsia="Noto Sans CJK SC"/>
                <w:b w:val="0"/>
                <w:color w:val="303030"/>
                <w:sz w:val="19"/>
              </w:rPr>
              <w:t>汇聚交换机</w:t>
            </w:r>
          </w:p>
        </w:tc>
        <w:tc>
          <w:tcPr>
            <w:tcW w:w="3742" w:type="dxa"/>
            <w:tcBorders>
              <w:top w:val="single" w:color="E3E3E3" w:sz="4" w:space="0"/>
            </w:tcBorders>
            <w:vAlign w:val="center"/>
          </w:tcPr>
          <w:p w14:paraId="430761B5">
            <w:pPr>
              <w:jc w:val="center"/>
            </w:pPr>
            <w:r>
              <w:rPr>
                <w:rFonts w:ascii="Calibri" w:hAnsi="Calibri" w:eastAsia="Noto Sans CJK SC"/>
                <w:b w:val="0"/>
                <w:color w:val="303030"/>
                <w:sz w:val="19"/>
              </w:rPr>
              <w:t>同上</w:t>
            </w:r>
          </w:p>
        </w:tc>
        <w:tc>
          <w:tcPr>
            <w:tcW w:w="567" w:type="dxa"/>
            <w:tcBorders>
              <w:top w:val="single" w:color="E3E3E3" w:sz="4" w:space="0"/>
            </w:tcBorders>
            <w:vAlign w:val="center"/>
          </w:tcPr>
          <w:p w14:paraId="4C71E5BC">
            <w:pPr>
              <w:jc w:val="center"/>
            </w:pPr>
            <w:r>
              <w:rPr>
                <w:rFonts w:ascii="Calibri" w:hAnsi="Calibri" w:eastAsia="Noto Sans CJK SC"/>
                <w:b w:val="0"/>
                <w:color w:val="303030"/>
                <w:sz w:val="19"/>
              </w:rPr>
              <w:t>台</w:t>
            </w:r>
          </w:p>
        </w:tc>
        <w:tc>
          <w:tcPr>
            <w:tcW w:w="567" w:type="dxa"/>
            <w:tcBorders>
              <w:top w:val="single" w:color="E3E3E3" w:sz="4" w:space="0"/>
            </w:tcBorders>
            <w:vAlign w:val="center"/>
          </w:tcPr>
          <w:p w14:paraId="2F4A372A">
            <w:pPr>
              <w:jc w:val="center"/>
            </w:pPr>
            <w:r>
              <w:rPr>
                <w:rFonts w:ascii="Calibri" w:hAnsi="Calibri" w:eastAsia="Noto Sans CJK SC"/>
                <w:b w:val="0"/>
                <w:color w:val="303030"/>
                <w:sz w:val="19"/>
              </w:rPr>
              <w:t>2</w:t>
            </w:r>
          </w:p>
        </w:tc>
        <w:tc>
          <w:tcPr>
            <w:tcW w:w="2154" w:type="dxa"/>
            <w:tcBorders>
              <w:top w:val="single" w:color="E3E3E3" w:sz="4" w:space="0"/>
            </w:tcBorders>
            <w:vAlign w:val="center"/>
          </w:tcPr>
          <w:p w14:paraId="0BA8314A">
            <w:r>
              <w:rPr>
                <w:rFonts w:ascii="Calibri" w:hAnsi="Calibri" w:eastAsia="Noto Sans CJK SC"/>
                <w:b w:val="0"/>
                <w:color w:val="303030"/>
                <w:sz w:val="19"/>
              </w:rPr>
              <w:t>大厅、控制机房各 1 台</w:t>
            </w:r>
          </w:p>
        </w:tc>
      </w:tr>
      <w:tr w14:paraId="76DB9B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tcBorders>
              <w:top w:val="single" w:color="E3E3E3" w:sz="4" w:space="0"/>
            </w:tcBorders>
            <w:shd w:val="clear" w:color="auto" w:fill="F7F7F7"/>
            <w:vAlign w:val="center"/>
          </w:tcPr>
          <w:p w14:paraId="598368B8">
            <w:pPr>
              <w:jc w:val="center"/>
            </w:pPr>
            <w:r>
              <w:rPr>
                <w:rFonts w:ascii="Calibri" w:hAnsi="Calibri" w:eastAsia="Noto Sans CJK SC"/>
                <w:b w:val="0"/>
                <w:color w:val="303030"/>
                <w:sz w:val="19"/>
              </w:rPr>
              <w:t>3</w:t>
            </w:r>
          </w:p>
        </w:tc>
        <w:tc>
          <w:tcPr>
            <w:tcW w:w="1361" w:type="dxa"/>
            <w:tcBorders>
              <w:top w:val="single" w:color="E3E3E3" w:sz="4" w:space="0"/>
            </w:tcBorders>
            <w:shd w:val="clear" w:color="auto" w:fill="F7F7F7"/>
            <w:vAlign w:val="center"/>
          </w:tcPr>
          <w:p w14:paraId="2C04A9F9">
            <w:r>
              <w:rPr>
                <w:rFonts w:ascii="Calibri" w:hAnsi="Calibri" w:eastAsia="Noto Sans CJK SC"/>
                <w:b w:val="0"/>
                <w:color w:val="303030"/>
                <w:sz w:val="19"/>
              </w:rPr>
              <w:t>上行交换机</w:t>
            </w:r>
          </w:p>
        </w:tc>
        <w:tc>
          <w:tcPr>
            <w:tcW w:w="3742" w:type="dxa"/>
            <w:tcBorders>
              <w:top w:val="single" w:color="E3E3E3" w:sz="4" w:space="0"/>
            </w:tcBorders>
            <w:shd w:val="clear" w:color="auto" w:fill="F7F7F7"/>
            <w:vAlign w:val="center"/>
          </w:tcPr>
          <w:p w14:paraId="3C530E62">
            <w:pPr>
              <w:jc w:val="center"/>
            </w:pPr>
            <w:r>
              <w:rPr>
                <w:rFonts w:ascii="Calibri" w:hAnsi="Calibri" w:eastAsia="Noto Sans CJK SC"/>
                <w:b w:val="0"/>
                <w:color w:val="303030"/>
                <w:sz w:val="19"/>
              </w:rPr>
              <w:t>同上</w:t>
            </w:r>
          </w:p>
        </w:tc>
        <w:tc>
          <w:tcPr>
            <w:tcW w:w="567" w:type="dxa"/>
            <w:tcBorders>
              <w:top w:val="single" w:color="E3E3E3" w:sz="4" w:space="0"/>
            </w:tcBorders>
            <w:shd w:val="clear" w:color="auto" w:fill="F7F7F7"/>
            <w:vAlign w:val="center"/>
          </w:tcPr>
          <w:p w14:paraId="30985925">
            <w:pPr>
              <w:jc w:val="center"/>
            </w:pPr>
            <w:r>
              <w:rPr>
                <w:rFonts w:ascii="Calibri" w:hAnsi="Calibri" w:eastAsia="Noto Sans CJK SC"/>
                <w:b w:val="0"/>
                <w:color w:val="303030"/>
                <w:sz w:val="19"/>
              </w:rPr>
              <w:t>台</w:t>
            </w:r>
          </w:p>
        </w:tc>
        <w:tc>
          <w:tcPr>
            <w:tcW w:w="567" w:type="dxa"/>
            <w:tcBorders>
              <w:top w:val="single" w:color="E3E3E3" w:sz="4" w:space="0"/>
            </w:tcBorders>
            <w:shd w:val="clear" w:color="auto" w:fill="F7F7F7"/>
            <w:vAlign w:val="center"/>
          </w:tcPr>
          <w:p w14:paraId="223C2278">
            <w:pPr>
              <w:jc w:val="center"/>
            </w:pPr>
            <w:r>
              <w:rPr>
                <w:rFonts w:ascii="Calibri" w:hAnsi="Calibri" w:eastAsia="Noto Sans CJK SC"/>
                <w:b w:val="0"/>
                <w:color w:val="303030"/>
                <w:sz w:val="19"/>
              </w:rPr>
              <w:t>1</w:t>
            </w:r>
          </w:p>
        </w:tc>
        <w:tc>
          <w:tcPr>
            <w:tcW w:w="2154" w:type="dxa"/>
            <w:tcBorders>
              <w:top w:val="single" w:color="E3E3E3" w:sz="4" w:space="0"/>
            </w:tcBorders>
            <w:shd w:val="clear" w:color="auto" w:fill="F7F7F7"/>
            <w:vAlign w:val="center"/>
          </w:tcPr>
          <w:p w14:paraId="1E960550">
            <w:pPr>
              <w:jc w:val="center"/>
            </w:pPr>
            <w:r>
              <w:rPr>
                <w:rFonts w:ascii="Calibri" w:hAnsi="Calibri" w:eastAsia="Noto Sans CJK SC"/>
                <w:b w:val="0"/>
                <w:color w:val="303030"/>
                <w:sz w:val="19"/>
              </w:rPr>
              <w:t>控制机房</w:t>
            </w:r>
          </w:p>
        </w:tc>
      </w:tr>
      <w:tr w14:paraId="53AA59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tcBorders>
              <w:top w:val="single" w:color="E3E3E3" w:sz="4" w:space="0"/>
            </w:tcBorders>
            <w:vAlign w:val="center"/>
          </w:tcPr>
          <w:p w14:paraId="54F08872">
            <w:pPr>
              <w:jc w:val="center"/>
            </w:pPr>
            <w:r>
              <w:rPr>
                <w:rFonts w:ascii="Calibri" w:hAnsi="Calibri" w:eastAsia="Noto Sans CJK SC"/>
                <w:b w:val="0"/>
                <w:color w:val="303030"/>
                <w:sz w:val="19"/>
              </w:rPr>
              <w:t>4</w:t>
            </w:r>
          </w:p>
        </w:tc>
        <w:tc>
          <w:tcPr>
            <w:tcW w:w="1361" w:type="dxa"/>
            <w:tcBorders>
              <w:top w:val="single" w:color="E3E3E3" w:sz="4" w:space="0"/>
            </w:tcBorders>
            <w:vAlign w:val="center"/>
          </w:tcPr>
          <w:p w14:paraId="270FAF0D">
            <w:r>
              <w:rPr>
                <w:rFonts w:ascii="Calibri" w:hAnsi="Calibri" w:eastAsia="Noto Sans CJK SC"/>
                <w:b w:val="0"/>
                <w:color w:val="303030"/>
                <w:sz w:val="19"/>
              </w:rPr>
              <w:t>千兆光模块</w:t>
            </w:r>
          </w:p>
        </w:tc>
        <w:tc>
          <w:tcPr>
            <w:tcW w:w="3742" w:type="dxa"/>
            <w:tcBorders>
              <w:top w:val="single" w:color="E3E3E3" w:sz="4" w:space="0"/>
            </w:tcBorders>
            <w:vAlign w:val="center"/>
          </w:tcPr>
          <w:p w14:paraId="5713E03C">
            <w:r>
              <w:rPr>
                <w:rFonts w:ascii="Calibri" w:hAnsi="Calibri" w:eastAsia="Noto Sans CJK SC"/>
                <w:b w:val="0"/>
                <w:color w:val="303030"/>
                <w:sz w:val="19"/>
              </w:rPr>
              <w:t>1000BASE-SX 多模 850nm，LC；H3C SFP-GE-SX-MM850 或经兼容性认证的同等产品</w:t>
            </w:r>
          </w:p>
        </w:tc>
        <w:tc>
          <w:tcPr>
            <w:tcW w:w="567" w:type="dxa"/>
            <w:tcBorders>
              <w:top w:val="single" w:color="E3E3E3" w:sz="4" w:space="0"/>
            </w:tcBorders>
            <w:vAlign w:val="center"/>
          </w:tcPr>
          <w:p w14:paraId="18338C87">
            <w:pPr>
              <w:jc w:val="center"/>
            </w:pPr>
            <w:r>
              <w:rPr>
                <w:rFonts w:ascii="Calibri" w:hAnsi="Calibri" w:eastAsia="Noto Sans CJK SC"/>
                <w:b w:val="0"/>
                <w:color w:val="303030"/>
                <w:sz w:val="19"/>
              </w:rPr>
              <w:t>只</w:t>
            </w:r>
          </w:p>
        </w:tc>
        <w:tc>
          <w:tcPr>
            <w:tcW w:w="567" w:type="dxa"/>
            <w:tcBorders>
              <w:top w:val="single" w:color="E3E3E3" w:sz="4" w:space="0"/>
            </w:tcBorders>
            <w:vAlign w:val="center"/>
          </w:tcPr>
          <w:p w14:paraId="5F6E14BA">
            <w:pPr>
              <w:jc w:val="center"/>
            </w:pPr>
            <w:r>
              <w:rPr>
                <w:rFonts w:ascii="Calibri" w:hAnsi="Calibri" w:eastAsia="Noto Sans CJK SC"/>
                <w:b w:val="0"/>
                <w:color w:val="303030"/>
                <w:sz w:val="19"/>
              </w:rPr>
              <w:t>240</w:t>
            </w:r>
          </w:p>
        </w:tc>
        <w:tc>
          <w:tcPr>
            <w:tcW w:w="2154" w:type="dxa"/>
            <w:tcBorders>
              <w:top w:val="single" w:color="E3E3E3" w:sz="4" w:space="0"/>
            </w:tcBorders>
            <w:vAlign w:val="center"/>
          </w:tcPr>
          <w:p w14:paraId="3B7C308D">
            <w:r>
              <w:rPr>
                <w:rFonts w:ascii="Calibri" w:hAnsi="Calibri" w:eastAsia="Noto Sans CJK SC"/>
                <w:b w:val="0"/>
                <w:color w:val="303030"/>
                <w:sz w:val="19"/>
              </w:rPr>
              <w:t>接入交换机侧</w:t>
            </w:r>
          </w:p>
        </w:tc>
      </w:tr>
      <w:tr w14:paraId="204D43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tcBorders>
              <w:top w:val="single" w:color="E3E3E3" w:sz="4" w:space="0"/>
            </w:tcBorders>
            <w:shd w:val="clear" w:color="auto" w:fill="F7F7F7"/>
            <w:vAlign w:val="center"/>
          </w:tcPr>
          <w:p w14:paraId="1DC1C374">
            <w:pPr>
              <w:jc w:val="center"/>
            </w:pPr>
            <w:r>
              <w:rPr>
                <w:rFonts w:ascii="Calibri" w:hAnsi="Calibri" w:eastAsia="Noto Sans CJK SC"/>
                <w:b w:val="0"/>
                <w:color w:val="303030"/>
                <w:sz w:val="19"/>
              </w:rPr>
              <w:t>5</w:t>
            </w:r>
          </w:p>
        </w:tc>
        <w:tc>
          <w:tcPr>
            <w:tcW w:w="1361" w:type="dxa"/>
            <w:tcBorders>
              <w:top w:val="single" w:color="E3E3E3" w:sz="4" w:space="0"/>
            </w:tcBorders>
            <w:shd w:val="clear" w:color="auto" w:fill="F7F7F7"/>
            <w:vAlign w:val="center"/>
          </w:tcPr>
          <w:p w14:paraId="1BC15C2E">
            <w:r>
              <w:rPr>
                <w:rFonts w:ascii="Calibri" w:hAnsi="Calibri" w:eastAsia="Noto Sans CJK SC"/>
                <w:b w:val="0"/>
                <w:color w:val="303030"/>
                <w:sz w:val="19"/>
              </w:rPr>
              <w:t>万兆光模块</w:t>
            </w:r>
          </w:p>
        </w:tc>
        <w:tc>
          <w:tcPr>
            <w:tcW w:w="3742" w:type="dxa"/>
            <w:tcBorders>
              <w:top w:val="single" w:color="E3E3E3" w:sz="4" w:space="0"/>
            </w:tcBorders>
            <w:shd w:val="clear" w:color="auto" w:fill="F7F7F7"/>
            <w:vAlign w:val="center"/>
          </w:tcPr>
          <w:p w14:paraId="4193F2EF">
            <w:r>
              <w:rPr>
                <w:rFonts w:ascii="Calibri" w:hAnsi="Calibri" w:eastAsia="Noto Sans CJK SC"/>
                <w:b w:val="0"/>
                <w:color w:val="303030"/>
                <w:sz w:val="19"/>
              </w:rPr>
              <w:t>10G SFP+ SR 多模 850nm，LC，与交换机兼容</w:t>
            </w:r>
          </w:p>
        </w:tc>
        <w:tc>
          <w:tcPr>
            <w:tcW w:w="567" w:type="dxa"/>
            <w:tcBorders>
              <w:top w:val="single" w:color="E3E3E3" w:sz="4" w:space="0"/>
            </w:tcBorders>
            <w:shd w:val="clear" w:color="auto" w:fill="F7F7F7"/>
            <w:vAlign w:val="center"/>
          </w:tcPr>
          <w:p w14:paraId="7C9789C1">
            <w:pPr>
              <w:jc w:val="center"/>
            </w:pPr>
            <w:r>
              <w:rPr>
                <w:rFonts w:ascii="Calibri" w:hAnsi="Calibri" w:eastAsia="Noto Sans CJK SC"/>
                <w:b w:val="0"/>
                <w:color w:val="303030"/>
                <w:sz w:val="19"/>
              </w:rPr>
              <w:t>只</w:t>
            </w:r>
          </w:p>
        </w:tc>
        <w:tc>
          <w:tcPr>
            <w:tcW w:w="567" w:type="dxa"/>
            <w:tcBorders>
              <w:top w:val="single" w:color="E3E3E3" w:sz="4" w:space="0"/>
            </w:tcBorders>
            <w:shd w:val="clear" w:color="auto" w:fill="F7F7F7"/>
            <w:vAlign w:val="center"/>
          </w:tcPr>
          <w:p w14:paraId="4B812913">
            <w:pPr>
              <w:jc w:val="center"/>
            </w:pPr>
            <w:r>
              <w:rPr>
                <w:rFonts w:ascii="Calibri" w:hAnsi="Calibri" w:eastAsia="Noto Sans CJK SC"/>
                <w:b w:val="0"/>
                <w:color w:val="303030"/>
                <w:sz w:val="19"/>
              </w:rPr>
              <w:t>46</w:t>
            </w:r>
          </w:p>
        </w:tc>
        <w:tc>
          <w:tcPr>
            <w:tcW w:w="2154" w:type="dxa"/>
            <w:tcBorders>
              <w:top w:val="single" w:color="E3E3E3" w:sz="4" w:space="0"/>
            </w:tcBorders>
            <w:shd w:val="clear" w:color="auto" w:fill="F7F7F7"/>
            <w:vAlign w:val="center"/>
          </w:tcPr>
          <w:p w14:paraId="2BD401DF">
            <w:r>
              <w:rPr>
                <w:rFonts w:ascii="Calibri" w:hAnsi="Calibri" w:eastAsia="Noto Sans CJK SC"/>
                <w:b w:val="0"/>
                <w:color w:val="303030"/>
                <w:sz w:val="19"/>
              </w:rPr>
              <w:t>构成：接入上联双端 24；大厅与机房汇聚间跨接续箱 4（两端汇聚侧各 2，箱内熔接不配模块）；机房汇聚至服务器双端 8；服务器至上行交换机双端 8；上行交换机至公用网 2</w:t>
            </w:r>
          </w:p>
        </w:tc>
      </w:tr>
      <w:tr w14:paraId="60A607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tcBorders>
              <w:top w:val="single" w:color="E3E3E3" w:sz="4" w:space="0"/>
            </w:tcBorders>
            <w:vAlign w:val="center"/>
          </w:tcPr>
          <w:p w14:paraId="2C1C28F0">
            <w:pPr>
              <w:jc w:val="center"/>
            </w:pPr>
            <w:r>
              <w:rPr>
                <w:rFonts w:ascii="Calibri" w:hAnsi="Calibri" w:eastAsia="Noto Sans CJK SC"/>
                <w:b w:val="0"/>
                <w:color w:val="303030"/>
                <w:sz w:val="19"/>
              </w:rPr>
              <w:t>6</w:t>
            </w:r>
          </w:p>
        </w:tc>
        <w:tc>
          <w:tcPr>
            <w:tcW w:w="1361" w:type="dxa"/>
            <w:tcBorders>
              <w:top w:val="single" w:color="E3E3E3" w:sz="4" w:space="0"/>
            </w:tcBorders>
            <w:vAlign w:val="center"/>
          </w:tcPr>
          <w:p w14:paraId="25A48AAA">
            <w:r>
              <w:rPr>
                <w:rFonts w:ascii="Calibri" w:hAnsi="Calibri" w:eastAsia="Noto Sans CJK SC"/>
                <w:b w:val="0"/>
                <w:color w:val="303030"/>
                <w:sz w:val="19"/>
              </w:rPr>
              <w:t>万兆多模跳线</w:t>
            </w:r>
          </w:p>
        </w:tc>
        <w:tc>
          <w:tcPr>
            <w:tcW w:w="3742" w:type="dxa"/>
            <w:tcBorders>
              <w:top w:val="single" w:color="E3E3E3" w:sz="4" w:space="0"/>
            </w:tcBorders>
            <w:vAlign w:val="center"/>
          </w:tcPr>
          <w:p w14:paraId="32BCF8E0">
            <w:r>
              <w:rPr>
                <w:rFonts w:ascii="Calibri" w:hAnsi="Calibri" w:eastAsia="Noto Sans CJK SC"/>
                <w:b w:val="0"/>
                <w:color w:val="303030"/>
                <w:sz w:val="19"/>
              </w:rPr>
              <w:t>OM3，LC-LC 双工，两端跳接制（链路两端经适配器面板）</w:t>
            </w:r>
          </w:p>
        </w:tc>
        <w:tc>
          <w:tcPr>
            <w:tcW w:w="567" w:type="dxa"/>
            <w:tcBorders>
              <w:top w:val="single" w:color="E3E3E3" w:sz="4" w:space="0"/>
            </w:tcBorders>
            <w:vAlign w:val="center"/>
          </w:tcPr>
          <w:p w14:paraId="0F93C642">
            <w:pPr>
              <w:jc w:val="center"/>
            </w:pPr>
            <w:r>
              <w:rPr>
                <w:rFonts w:ascii="Calibri" w:hAnsi="Calibri" w:eastAsia="Noto Sans CJK SC"/>
                <w:b w:val="0"/>
                <w:color w:val="303030"/>
                <w:sz w:val="19"/>
              </w:rPr>
              <w:t>根</w:t>
            </w:r>
          </w:p>
        </w:tc>
        <w:tc>
          <w:tcPr>
            <w:tcW w:w="567" w:type="dxa"/>
            <w:tcBorders>
              <w:top w:val="single" w:color="E3E3E3" w:sz="4" w:space="0"/>
            </w:tcBorders>
            <w:vAlign w:val="center"/>
          </w:tcPr>
          <w:p w14:paraId="17063BA9">
            <w:pPr>
              <w:jc w:val="center"/>
            </w:pPr>
            <w:r>
              <w:rPr>
                <w:rFonts w:ascii="Calibri" w:hAnsi="Calibri" w:eastAsia="Noto Sans CJK SC"/>
                <w:b w:val="0"/>
                <w:color w:val="303030"/>
                <w:sz w:val="19"/>
              </w:rPr>
              <w:t>46</w:t>
            </w:r>
          </w:p>
        </w:tc>
        <w:tc>
          <w:tcPr>
            <w:tcW w:w="2154" w:type="dxa"/>
            <w:tcBorders>
              <w:top w:val="single" w:color="E3E3E3" w:sz="4" w:space="0"/>
            </w:tcBorders>
            <w:vAlign w:val="center"/>
          </w:tcPr>
          <w:p w14:paraId="2E743B11">
            <w:r>
              <w:rPr>
                <w:rFonts w:ascii="Calibri" w:hAnsi="Calibri" w:eastAsia="Noto Sans CJK SC"/>
                <w:b w:val="0"/>
                <w:color w:val="303030"/>
                <w:sz w:val="19"/>
              </w:rPr>
              <w:t>构成：接入上联 12×2＝24；接续箱至两端汇聚 2×2＝4；机房汇聚至服务器及上行交换机 (4+4)×2＝16；公用网上联 1×2＝2。长度按踏勘确定</w:t>
            </w:r>
          </w:p>
        </w:tc>
      </w:tr>
      <w:tr w14:paraId="280C4C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tcBorders>
              <w:top w:val="single" w:color="E3E3E3" w:sz="4" w:space="0"/>
              <w:bottom w:val="single" w:color="111111" w:sz="18" w:space="0"/>
            </w:tcBorders>
            <w:shd w:val="clear" w:color="auto" w:fill="F7F7F7"/>
            <w:vAlign w:val="center"/>
          </w:tcPr>
          <w:p w14:paraId="5F22D88C">
            <w:pPr>
              <w:jc w:val="center"/>
            </w:pPr>
            <w:r>
              <w:rPr>
                <w:rFonts w:ascii="Calibri" w:hAnsi="Calibri" w:eastAsia="Noto Sans CJK SC"/>
                <w:b w:val="0"/>
                <w:color w:val="303030"/>
                <w:sz w:val="19"/>
              </w:rPr>
              <w:t>7</w:t>
            </w:r>
          </w:p>
        </w:tc>
        <w:tc>
          <w:tcPr>
            <w:tcW w:w="1361" w:type="dxa"/>
            <w:tcBorders>
              <w:top w:val="single" w:color="E3E3E3" w:sz="4" w:space="0"/>
              <w:bottom w:val="single" w:color="111111" w:sz="18" w:space="0"/>
            </w:tcBorders>
            <w:shd w:val="clear" w:color="auto" w:fill="F7F7F7"/>
            <w:vAlign w:val="center"/>
          </w:tcPr>
          <w:p w14:paraId="4B5F0EFC">
            <w:pPr>
              <w:jc w:val="center"/>
            </w:pPr>
            <w:r>
              <w:rPr>
                <w:rFonts w:ascii="Calibri" w:hAnsi="Calibri" w:eastAsia="Noto Sans CJK SC"/>
                <w:b w:val="0"/>
                <w:color w:val="303030"/>
                <w:sz w:val="19"/>
              </w:rPr>
              <w:t>铠装光缆</w:t>
            </w:r>
          </w:p>
        </w:tc>
        <w:tc>
          <w:tcPr>
            <w:tcW w:w="3742" w:type="dxa"/>
            <w:tcBorders>
              <w:top w:val="single" w:color="E3E3E3" w:sz="4" w:space="0"/>
              <w:bottom w:val="single" w:color="111111" w:sz="18" w:space="0"/>
            </w:tcBorders>
            <w:shd w:val="clear" w:color="auto" w:fill="F7F7F7"/>
            <w:vAlign w:val="center"/>
          </w:tcPr>
          <w:p w14:paraId="45621FC6">
            <w:r>
              <w:rPr>
                <w:rFonts w:ascii="Calibri" w:hAnsi="Calibri" w:eastAsia="Noto Sans CJK SC"/>
                <w:b w:val="0"/>
                <w:color w:val="303030"/>
                <w:sz w:val="19"/>
              </w:rPr>
              <w:t>OM3 多模，室外铠装（GYTA53 或同级），不少于 4 芯，含尾纤及盘纤附件</w:t>
            </w:r>
          </w:p>
        </w:tc>
        <w:tc>
          <w:tcPr>
            <w:tcW w:w="567" w:type="dxa"/>
            <w:tcBorders>
              <w:top w:val="single" w:color="E3E3E3" w:sz="4" w:space="0"/>
              <w:bottom w:val="single" w:color="111111" w:sz="18" w:space="0"/>
            </w:tcBorders>
            <w:shd w:val="clear" w:color="auto" w:fill="F7F7F7"/>
            <w:vAlign w:val="center"/>
          </w:tcPr>
          <w:p w14:paraId="174E0895">
            <w:pPr>
              <w:jc w:val="center"/>
            </w:pPr>
            <w:r>
              <w:rPr>
                <w:rFonts w:ascii="Calibri" w:hAnsi="Calibri" w:eastAsia="Noto Sans CJK SC"/>
                <w:b w:val="0"/>
                <w:color w:val="303030"/>
                <w:sz w:val="19"/>
              </w:rPr>
              <w:t>段</w:t>
            </w:r>
          </w:p>
        </w:tc>
        <w:tc>
          <w:tcPr>
            <w:tcW w:w="567" w:type="dxa"/>
            <w:tcBorders>
              <w:top w:val="single" w:color="E3E3E3" w:sz="4" w:space="0"/>
              <w:bottom w:val="single" w:color="111111" w:sz="18" w:space="0"/>
            </w:tcBorders>
            <w:shd w:val="clear" w:color="auto" w:fill="F7F7F7"/>
            <w:vAlign w:val="center"/>
          </w:tcPr>
          <w:p w14:paraId="224F2A87">
            <w:pPr>
              <w:jc w:val="center"/>
            </w:pPr>
            <w:r>
              <w:rPr>
                <w:rFonts w:ascii="Calibri" w:hAnsi="Calibri" w:eastAsia="Noto Sans CJK SC"/>
                <w:b w:val="0"/>
                <w:color w:val="303030"/>
                <w:sz w:val="19"/>
              </w:rPr>
              <w:t>2</w:t>
            </w:r>
          </w:p>
        </w:tc>
        <w:tc>
          <w:tcPr>
            <w:tcW w:w="2154" w:type="dxa"/>
            <w:tcBorders>
              <w:top w:val="single" w:color="E3E3E3" w:sz="4" w:space="0"/>
              <w:bottom w:val="single" w:color="111111" w:sz="18" w:space="0"/>
            </w:tcBorders>
            <w:shd w:val="clear" w:color="auto" w:fill="F7F7F7"/>
            <w:vAlign w:val="center"/>
          </w:tcPr>
          <w:p w14:paraId="12423976">
            <w:r>
              <w:rPr>
                <w:rFonts w:ascii="Calibri" w:hAnsi="Calibri" w:eastAsia="Noto Sans CJK SC"/>
                <w:b w:val="0"/>
                <w:color w:val="303030"/>
                <w:sz w:val="19"/>
              </w:rPr>
              <w:t>每段约 50 米，大厅至接续箱</w:t>
            </w:r>
          </w:p>
        </w:tc>
      </w:tr>
    </w:tbl>
    <w:p w14:paraId="7BF2C45C">
      <w:pPr>
        <w:spacing w:before="80"/>
      </w:pPr>
      <w:r>
        <w:rPr>
          <w:rFonts w:ascii="Calibri" w:hAnsi="Calibri" w:eastAsia="Noto Sans CJK SC"/>
          <w:b w:val="0"/>
          <w:color w:val="6B7280"/>
          <w:sz w:val="19"/>
        </w:rPr>
        <w:t>注：清单数量按第二章系统构成核算，已包含链路两端所需连接件。报价出现漏项缺项的，视为已含于总价，成交后不再另计。</w:t>
      </w:r>
    </w:p>
    <w:p w14:paraId="2F989A4F">
      <w:pPr>
        <w:spacing w:before="280" w:after="120"/>
      </w:pPr>
      <w:r>
        <w:rPr>
          <w:rFonts w:ascii="Cambria" w:hAnsi="Cambria" w:eastAsia="Noto Serif CJK SC"/>
          <w:b/>
          <w:color w:val="1A1A1A"/>
          <w:sz w:val="28"/>
        </w:rPr>
        <w:t>五、主要技术规格要求</w:t>
      </w:r>
    </w:p>
    <w:p w14:paraId="68A64575">
      <w:pPr>
        <w:spacing w:after="120" w:line="336" w:lineRule="auto"/>
        <w:ind w:firstLine="440"/>
      </w:pPr>
      <w:r>
        <w:rPr>
          <w:rFonts w:ascii="Calibri" w:hAnsi="Calibri" w:eastAsia="Noto Sans CJK SC"/>
          <w:b/>
          <w:color w:val="303030"/>
          <w:sz w:val="22"/>
        </w:rPr>
        <w:t>5.1　交换机。</w:t>
      </w:r>
      <w:r>
        <w:rPr>
          <w:rFonts w:ascii="Calibri" w:hAnsi="Calibri" w:eastAsia="Noto Sans CJK SC"/>
          <w:b w:val="0"/>
          <w:color w:val="303030"/>
          <w:sz w:val="22"/>
        </w:rPr>
        <w:t>H3C S6520-24S-SI 或同档次及以上国产设备，24 口万兆 SFP+ 并兼容千兆 SFP；支持 802.1Q VLAN、链路聚合（静态/LACP）、STP/RSTP、IGMP 监听、SNMP v2c/v3、命令行及 Web 管理；具备 CCC 认证；产品须在中国境内生产，随货提供原厂产地声明。本项目为国家“两重”项目，国产化属实质性要求。</w:t>
      </w:r>
    </w:p>
    <w:p w14:paraId="20318BBE">
      <w:pPr>
        <w:spacing w:after="120" w:line="336" w:lineRule="auto"/>
        <w:ind w:firstLine="440"/>
      </w:pPr>
      <w:r>
        <w:rPr>
          <w:rFonts w:ascii="Calibri" w:hAnsi="Calibri" w:eastAsia="Noto Sans CJK SC"/>
          <w:b/>
          <w:color w:val="303030"/>
          <w:sz w:val="22"/>
        </w:rPr>
        <w:t>5.2　光模块。</w:t>
      </w:r>
      <w:r>
        <w:rPr>
          <w:rFonts w:ascii="Calibri" w:hAnsi="Calibri" w:eastAsia="Noto Sans CJK SC"/>
          <w:b w:val="0"/>
          <w:color w:val="303030"/>
          <w:sz w:val="22"/>
        </w:rPr>
        <w:t>全部采用多模 850nm 规格，与所配交换机完全兼容。供应商对兼容性负责，现场出现不匹配的免费更换。</w:t>
      </w:r>
    </w:p>
    <w:p w14:paraId="38241167">
      <w:pPr>
        <w:spacing w:after="120" w:line="336" w:lineRule="auto"/>
        <w:ind w:firstLine="440"/>
      </w:pPr>
      <w:r>
        <w:rPr>
          <w:rFonts w:ascii="Calibri" w:hAnsi="Calibri" w:eastAsia="Noto Sans CJK SC"/>
          <w:b/>
          <w:color w:val="303030"/>
          <w:sz w:val="22"/>
        </w:rPr>
        <w:t>5.3　光缆及跳线。</w:t>
      </w:r>
      <w:r>
        <w:rPr>
          <w:rFonts w:ascii="Calibri" w:hAnsi="Calibri" w:eastAsia="Noto Sans CJK SC"/>
          <w:b w:val="0"/>
          <w:color w:val="303030"/>
          <w:sz w:val="22"/>
        </w:rPr>
        <w:t>跳线为 OM3 及以上等级多模光纤；铠装光缆防潮、防鼠、耐紫外线。</w:t>
      </w:r>
    </w:p>
    <w:p w14:paraId="241D9C16">
      <w:pPr>
        <w:spacing w:before="280" w:after="120"/>
      </w:pPr>
      <w:r>
        <w:rPr>
          <w:rFonts w:ascii="Cambria" w:hAnsi="Cambria" w:eastAsia="Noto Serif CJK SC"/>
          <w:b/>
          <w:color w:val="1A1A1A"/>
          <w:sz w:val="28"/>
        </w:rPr>
        <w:t>六、验收</w:t>
      </w:r>
    </w:p>
    <w:p w14:paraId="4B64F80F">
      <w:pPr>
        <w:spacing w:after="120" w:line="336" w:lineRule="auto"/>
        <w:ind w:firstLine="440"/>
      </w:pPr>
      <w:r>
        <w:rPr>
          <w:rFonts w:ascii="Calibri" w:hAnsi="Calibri" w:eastAsia="Noto Sans CJK SC"/>
          <w:b/>
          <w:color w:val="303030"/>
          <w:sz w:val="22"/>
        </w:rPr>
        <w:t>6.1　验收程序。</w:t>
      </w:r>
      <w:r>
        <w:rPr>
          <w:rFonts w:ascii="Calibri" w:hAnsi="Calibri" w:eastAsia="Noto Sans CJK SC"/>
          <w:b w:val="0"/>
          <w:color w:val="303030"/>
          <w:sz w:val="22"/>
        </w:rPr>
        <w:t>成交供应商自检合格后书面申请验收，采购人收悉后 10 个工作日内组织。验收依据为第 3.7 条全部测试项目合格且第 3.8 条竣工资料齐套。验收不合格的免费整改后重新申请。实际竣工日期以验收合格之日为准。</w:t>
      </w:r>
    </w:p>
    <w:p w14:paraId="7AA0B678">
      <w:pPr>
        <w:spacing w:before="280" w:after="120"/>
      </w:pPr>
      <w:r>
        <w:rPr>
          <w:rFonts w:ascii="Cambria" w:hAnsi="Cambria" w:eastAsia="Noto Serif CJK SC"/>
          <w:b/>
          <w:color w:val="1A1A1A"/>
          <w:sz w:val="28"/>
        </w:rPr>
        <w:t>七、商务要求</w:t>
      </w:r>
    </w:p>
    <w:p w14:paraId="714E0BC5">
      <w:pPr>
        <w:spacing w:after="120" w:line="336" w:lineRule="auto"/>
        <w:ind w:firstLine="440"/>
      </w:pPr>
      <w:r>
        <w:rPr>
          <w:rFonts w:ascii="Calibri" w:hAnsi="Calibri" w:eastAsia="Noto Sans CJK SC"/>
          <w:b/>
          <w:color w:val="303030"/>
          <w:sz w:val="22"/>
        </w:rPr>
        <w:t>7.1　工期。</w:t>
      </w:r>
      <w:r>
        <w:rPr>
          <w:rFonts w:ascii="Calibri" w:hAnsi="Calibri" w:eastAsia="Noto Sans CJK SC"/>
          <w:b w:val="0"/>
          <w:color w:val="303030"/>
          <w:sz w:val="22"/>
        </w:rPr>
        <w:t>合同签订后 30 个日历日。深化设计报审时间超过 5 个工作日的，工期相应顺延。</w:t>
      </w:r>
    </w:p>
    <w:p w14:paraId="00570EB5">
      <w:pPr>
        <w:spacing w:after="120" w:line="336" w:lineRule="auto"/>
        <w:ind w:firstLine="440"/>
      </w:pPr>
      <w:r>
        <w:rPr>
          <w:rFonts w:ascii="Calibri" w:hAnsi="Calibri" w:eastAsia="Noto Sans CJK SC"/>
          <w:b/>
          <w:color w:val="303030"/>
          <w:sz w:val="22"/>
        </w:rPr>
        <w:t>7.2　报价。</w:t>
      </w:r>
      <w:r>
        <w:rPr>
          <w:rFonts w:ascii="Calibri" w:hAnsi="Calibri" w:eastAsia="Noto Sans CJK SC"/>
          <w:b w:val="0"/>
          <w:color w:val="303030"/>
          <w:sz w:val="22"/>
        </w:rPr>
        <w:t xml:space="preserve">总价包干，含设备材料、运输、施工、调试测试、竣工资料、税金及质保期服务费用；报价有效期 </w:t>
      </w:r>
      <w:r>
        <w:rPr>
          <w:rFonts w:hint="eastAsia" w:ascii="Calibri" w:hAnsi="Calibri" w:eastAsia="宋体"/>
          <w:b w:val="0"/>
          <w:color w:val="303030"/>
          <w:sz w:val="22"/>
          <w:lang w:val="en-US" w:eastAsia="zh-CN"/>
        </w:rPr>
        <w:t>30</w:t>
      </w:r>
      <w:r>
        <w:rPr>
          <w:rFonts w:ascii="Calibri" w:hAnsi="Calibri" w:eastAsia="Noto Sans CJK SC"/>
          <w:b w:val="0"/>
          <w:color w:val="303030"/>
          <w:sz w:val="22"/>
        </w:rPr>
        <w:t>天。</w:t>
      </w:r>
    </w:p>
    <w:p w14:paraId="3A40FB4E">
      <w:pPr>
        <w:spacing w:after="120" w:line="336" w:lineRule="auto"/>
        <w:ind w:firstLine="440"/>
      </w:pPr>
      <w:r>
        <w:rPr>
          <w:rFonts w:ascii="Calibri" w:hAnsi="Calibri" w:eastAsia="Noto Sans CJK SC"/>
          <w:b/>
          <w:color w:val="303030"/>
          <w:sz w:val="22"/>
        </w:rPr>
        <w:t>7.3　付款。</w:t>
      </w:r>
      <w:r>
        <w:rPr>
          <w:rFonts w:ascii="Calibri" w:hAnsi="Calibri" w:eastAsia="Noto Sans CJK SC"/>
          <w:b w:val="0"/>
          <w:color w:val="303030"/>
          <w:sz w:val="22"/>
        </w:rPr>
        <w:t>按合同条款约定执行。</w:t>
      </w:r>
    </w:p>
    <w:p w14:paraId="61B4F483">
      <w:pPr>
        <w:spacing w:after="120" w:line="336" w:lineRule="auto"/>
        <w:ind w:firstLine="440"/>
      </w:pPr>
      <w:r>
        <w:rPr>
          <w:rFonts w:ascii="Calibri" w:hAnsi="Calibri" w:eastAsia="Noto Sans CJK SC"/>
          <w:b/>
          <w:color w:val="303030"/>
          <w:sz w:val="22"/>
        </w:rPr>
        <w:t>7.4　供应商资格。</w:t>
      </w:r>
      <w:r>
        <w:rPr>
          <w:rFonts w:ascii="Calibri" w:hAnsi="Calibri" w:eastAsia="Noto Sans CJK SC"/>
          <w:b w:val="0"/>
          <w:color w:val="303030"/>
          <w:sz w:val="22"/>
        </w:rPr>
        <w:t>（1）具有独立法人资格，具备有效营业执照；（2）近 3 年至少完成 1 项同类网络系统集成项目，提供合同或验收证明复印件；（3）未被列入“信用中国”失信被执行人名单。</w:t>
      </w:r>
    </w:p>
    <w:p w14:paraId="0E8642DA">
      <w:pPr>
        <w:spacing w:after="120" w:line="336" w:lineRule="auto"/>
        <w:ind w:firstLine="440"/>
      </w:pPr>
      <w:r>
        <w:rPr>
          <w:rFonts w:ascii="Calibri" w:hAnsi="Calibri" w:eastAsia="Noto Sans CJK SC"/>
          <w:b/>
          <w:color w:val="303030"/>
          <w:sz w:val="22"/>
        </w:rPr>
        <w:t>7.5　其他。</w:t>
      </w:r>
      <w:r>
        <w:rPr>
          <w:rFonts w:ascii="Calibri" w:hAnsi="Calibri" w:eastAsia="Noto Sans CJK SC"/>
          <w:b w:val="0"/>
          <w:color w:val="303030"/>
          <w:sz w:val="22"/>
        </w:rPr>
        <w:t>本项目不接受联合体报价。网络深化设计、系统配置与联调测试为主体工作，不得分包。</w:t>
      </w:r>
      <w:bookmarkStart w:id="0" w:name="_GoBack"/>
      <w:bookmarkEnd w:id="0"/>
    </w:p>
    <w:sectPr>
      <w:footerReference r:id="rId5" w:type="default"/>
      <w:pgSz w:w="12240" w:h="15840"/>
      <w:pgMar w:top="1474" w:right="1474" w:bottom="1361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Noto Serif CJK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oto Sans CJK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F8CEBB">
    <w:pPr>
      <w:pStyle w:val="24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3BC1B0A"/>
    <w:rsid w:val="4AE90539"/>
    <w:rsid w:val="562316F8"/>
    <w:rsid w:val="5E1C6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qFormat="1"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2779</Words>
  <Characters>3068</Characters>
  <Lines>0</Lines>
  <Paragraphs>0</Paragraphs>
  <TotalTime>2</TotalTime>
  <ScaleCrop>false</ScaleCrop>
  <LinksUpToDate>false</LinksUpToDate>
  <CharactersWithSpaces>3260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LHB</cp:lastModifiedBy>
  <dcterms:modified xsi:type="dcterms:W3CDTF">2026-09-15T09:56:25Z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eyJoZGlkIjoiMTM1NTY4YzliN2JjNDU0YjlkYmVjYWY2Nzc0OTg3OGMiLCJ1c2VySWQiOiIxMjA2Mjg1NDQ0In0=</vt:lpwstr>
  </property>
  <property fmtid="{D5CDD505-2E9C-101B-9397-08002B2CF9AE}" pid="3" name="KSOProductBuildVer">
    <vt:lpwstr>2052-12.1.0.21171</vt:lpwstr>
  </property>
  <property fmtid="{D5CDD505-2E9C-101B-9397-08002B2CF9AE}" pid="4" name="ICV">
    <vt:lpwstr>69C626C923214A79B816E8556F2E78E0_13</vt:lpwstr>
  </property>
</Properties>
</file>