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103B7">
      <w:pPr>
        <w:spacing w:before="100" w:beforeAutospacing="1" w:after="100" w:afterAutospacing="1"/>
        <w:jc w:val="left"/>
        <w:outlineLvl w:val="2"/>
        <w:rPr>
          <w:b/>
          <w:kern w:val="0"/>
          <w:sz w:val="24"/>
          <w:szCs w:val="27"/>
        </w:rPr>
      </w:pPr>
      <w:r>
        <w:rPr>
          <w:rFonts w:hint="eastAsia"/>
          <w:b/>
          <w:kern w:val="0"/>
          <w:sz w:val="24"/>
          <w:szCs w:val="27"/>
          <w:lang w:val="en-US" w:eastAsia="zh-CN"/>
        </w:rPr>
        <w:t>1</w:t>
      </w:r>
      <w:r>
        <w:rPr>
          <w:rFonts w:hint="eastAsia"/>
          <w:b/>
          <w:kern w:val="0"/>
          <w:sz w:val="24"/>
          <w:szCs w:val="27"/>
        </w:rPr>
        <w:t>.</w:t>
      </w:r>
      <w:r>
        <w:rPr>
          <w:b/>
          <w:kern w:val="0"/>
          <w:sz w:val="24"/>
          <w:szCs w:val="27"/>
        </w:rPr>
        <w:t>主要技术指标</w:t>
      </w:r>
    </w:p>
    <w:p w14:paraId="7408A37C">
      <w:pPr>
        <w:snapToGrid w:val="0"/>
        <w:ind w:firstLine="480" w:firstLineChars="200"/>
        <w:jc w:val="center"/>
        <w:rPr>
          <w:sz w:val="24"/>
        </w:rPr>
      </w:pPr>
      <w:r>
        <w:rPr>
          <w:sz w:val="24"/>
        </w:rPr>
        <w:t xml:space="preserve"> 表1-1  </w:t>
      </w:r>
      <w:r>
        <w:rPr>
          <w:rFonts w:hint="eastAsia"/>
          <w:sz w:val="24"/>
          <w:szCs w:val="22"/>
          <w:lang w:val="en-US" w:eastAsia="zh-CN"/>
        </w:rPr>
        <w:t>弹性漫散射位置灵敏型</w:t>
      </w:r>
      <w:r>
        <w:rPr>
          <w:sz w:val="24"/>
          <w:szCs w:val="22"/>
          <w:vertAlign w:val="superscript"/>
        </w:rPr>
        <w:t>3</w:t>
      </w:r>
      <w:r>
        <w:rPr>
          <w:sz w:val="24"/>
          <w:szCs w:val="22"/>
        </w:rPr>
        <w:t>He</w:t>
      </w:r>
      <w:r>
        <w:rPr>
          <w:rFonts w:hint="eastAsia"/>
          <w:sz w:val="24"/>
          <w:szCs w:val="22"/>
          <w:lang w:val="en-US" w:eastAsia="zh-CN"/>
        </w:rPr>
        <w:t>样管</w:t>
      </w:r>
      <w:r>
        <w:rPr>
          <w:sz w:val="24"/>
        </w:rPr>
        <w:t>主要参数及技术指标</w:t>
      </w:r>
    </w:p>
    <w:tbl>
      <w:tblPr>
        <w:tblStyle w:val="5"/>
        <w:tblW w:w="81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3460"/>
        <w:gridCol w:w="3805"/>
      </w:tblGrid>
      <w:tr w14:paraId="2E3EF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tblHeader/>
          <w:jc w:val="center"/>
        </w:trPr>
        <w:tc>
          <w:tcPr>
            <w:tcW w:w="0" w:type="auto"/>
            <w:noWrap w:val="0"/>
            <w:vAlign w:val="center"/>
          </w:tcPr>
          <w:p w14:paraId="02D2FB6D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序号</w:t>
            </w:r>
          </w:p>
        </w:tc>
        <w:tc>
          <w:tcPr>
            <w:tcW w:w="3460" w:type="dxa"/>
            <w:noWrap w:val="0"/>
            <w:vAlign w:val="center"/>
          </w:tcPr>
          <w:p w14:paraId="2F8510FA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技术参数</w:t>
            </w:r>
          </w:p>
        </w:tc>
        <w:tc>
          <w:tcPr>
            <w:tcW w:w="3805" w:type="dxa"/>
            <w:noWrap w:val="0"/>
            <w:vAlign w:val="center"/>
          </w:tcPr>
          <w:p w14:paraId="5AC9DEF2">
            <w:pPr>
              <w:snapToGrid w:val="0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指标参数</w:t>
            </w:r>
          </w:p>
        </w:tc>
      </w:tr>
      <w:tr w14:paraId="40936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916" w:type="dxa"/>
            <w:noWrap w:val="0"/>
            <w:vAlign w:val="center"/>
          </w:tcPr>
          <w:p w14:paraId="4D9A607E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60" w:type="dxa"/>
            <w:noWrap w:val="0"/>
            <w:vAlign w:val="center"/>
          </w:tcPr>
          <w:p w14:paraId="64F6A0E5">
            <w:pPr>
              <w:snapToGrid w:val="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管外径</w:t>
            </w:r>
            <w:r>
              <w:rPr>
                <w:sz w:val="24"/>
              </w:rPr>
              <w:t>/mm</w:t>
            </w:r>
          </w:p>
        </w:tc>
        <w:tc>
          <w:tcPr>
            <w:tcW w:w="3805" w:type="dxa"/>
            <w:noWrap w:val="0"/>
            <w:vAlign w:val="center"/>
          </w:tcPr>
          <w:p w14:paraId="0CE1DEFA">
            <w:pPr>
              <w:snapToGrid w:val="0"/>
              <w:jc w:val="left"/>
              <w:rPr>
                <w:rFonts w:hint="eastAsia" w:eastAsia="宋体"/>
                <w:sz w:val="24"/>
                <w:lang w:eastAsia="zh-CN"/>
              </w:rPr>
            </w:pPr>
            <w:r>
              <w:rPr>
                <w:sz w:val="24"/>
              </w:rPr>
              <w:t>12.7 ± 0.3</w:t>
            </w:r>
          </w:p>
        </w:tc>
      </w:tr>
      <w:tr w14:paraId="3CB68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916" w:type="dxa"/>
            <w:noWrap w:val="0"/>
            <w:vAlign w:val="center"/>
          </w:tcPr>
          <w:p w14:paraId="7955FF55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60" w:type="dxa"/>
            <w:noWrap w:val="0"/>
            <w:vAlign w:val="center"/>
          </w:tcPr>
          <w:p w14:paraId="3A66516C">
            <w:pPr>
              <w:snapToGrid w:val="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不锈钢管壁厚</w:t>
            </w:r>
            <w:r>
              <w:rPr>
                <w:sz w:val="24"/>
              </w:rPr>
              <w:t>/mm</w:t>
            </w:r>
          </w:p>
        </w:tc>
        <w:tc>
          <w:tcPr>
            <w:tcW w:w="3805" w:type="dxa"/>
            <w:noWrap w:val="0"/>
            <w:vAlign w:val="center"/>
          </w:tcPr>
          <w:p w14:paraId="7C143580">
            <w:pPr>
              <w:snapToGrid w:val="0"/>
              <w:jc w:val="left"/>
              <w:rPr>
                <w:sz w:val="24"/>
              </w:rPr>
            </w:pPr>
            <w:r>
              <w:rPr>
                <w:color w:val="auto"/>
                <w:sz w:val="24"/>
              </w:rPr>
              <w:t>≤ 0.</w:t>
            </w:r>
            <w:r>
              <w:rPr>
                <w:rFonts w:hint="eastAsia"/>
                <w:color w:val="auto"/>
                <w:sz w:val="24"/>
              </w:rPr>
              <w:t>5</w:t>
            </w:r>
            <w:bookmarkStart w:id="0" w:name="_GoBack"/>
            <w:bookmarkEnd w:id="0"/>
          </w:p>
        </w:tc>
      </w:tr>
      <w:tr w14:paraId="16804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916" w:type="dxa"/>
            <w:noWrap w:val="0"/>
            <w:vAlign w:val="center"/>
          </w:tcPr>
          <w:p w14:paraId="55B40C4F">
            <w:pPr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60" w:type="dxa"/>
            <w:noWrap w:val="0"/>
            <w:vAlign w:val="center"/>
          </w:tcPr>
          <w:p w14:paraId="32ACF9EB">
            <w:pPr>
              <w:snapToGrid w:val="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有效长度</w:t>
            </w:r>
            <w:r>
              <w:rPr>
                <w:sz w:val="24"/>
              </w:rPr>
              <w:t>/mm</w:t>
            </w:r>
          </w:p>
        </w:tc>
        <w:tc>
          <w:tcPr>
            <w:tcW w:w="3805" w:type="dxa"/>
            <w:noWrap w:val="0"/>
            <w:vAlign w:val="center"/>
          </w:tcPr>
          <w:p w14:paraId="1871DB57">
            <w:pPr>
              <w:snapToGrid w:val="0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sz w:val="24"/>
              </w:rPr>
              <w:t xml:space="preserve">≥ </w:t>
            </w:r>
            <w:r>
              <w:rPr>
                <w:rFonts w:hint="eastAsia"/>
                <w:sz w:val="24"/>
                <w:lang w:val="en-US" w:eastAsia="zh-CN"/>
              </w:rPr>
              <w:t>800</w:t>
            </w:r>
          </w:p>
        </w:tc>
      </w:tr>
      <w:tr w14:paraId="0E37B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916" w:type="dxa"/>
            <w:noWrap w:val="0"/>
            <w:vAlign w:val="center"/>
          </w:tcPr>
          <w:p w14:paraId="14569E87">
            <w:pPr>
              <w:snapToGrid w:val="0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4</w:t>
            </w:r>
          </w:p>
        </w:tc>
        <w:tc>
          <w:tcPr>
            <w:tcW w:w="3460" w:type="dxa"/>
            <w:noWrap w:val="0"/>
            <w:vAlign w:val="center"/>
          </w:tcPr>
          <w:p w14:paraId="36F903CA">
            <w:pPr>
              <w:snapToGrid w:val="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直线度</w:t>
            </w:r>
            <w:r>
              <w:rPr>
                <w:sz w:val="24"/>
              </w:rPr>
              <w:t>/mm</w:t>
            </w:r>
          </w:p>
        </w:tc>
        <w:tc>
          <w:tcPr>
            <w:tcW w:w="3805" w:type="dxa"/>
            <w:noWrap w:val="0"/>
            <w:vAlign w:val="center"/>
          </w:tcPr>
          <w:p w14:paraId="2F128F44">
            <w:pPr>
              <w:snapToGrid w:val="0"/>
              <w:jc w:val="left"/>
              <w:rPr>
                <w:sz w:val="24"/>
              </w:rPr>
            </w:pPr>
            <w:r>
              <w:rPr>
                <w:sz w:val="24"/>
              </w:rPr>
              <w:t>≤ 0.3</w:t>
            </w:r>
          </w:p>
        </w:tc>
      </w:tr>
      <w:tr w14:paraId="2EFC9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916" w:type="dxa"/>
            <w:noWrap w:val="0"/>
            <w:vAlign w:val="center"/>
          </w:tcPr>
          <w:p w14:paraId="58E12E05">
            <w:pPr>
              <w:snapToGrid w:val="0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5</w:t>
            </w:r>
          </w:p>
        </w:tc>
        <w:tc>
          <w:tcPr>
            <w:tcW w:w="3460" w:type="dxa"/>
            <w:noWrap w:val="0"/>
            <w:vAlign w:val="center"/>
          </w:tcPr>
          <w:p w14:paraId="1B267082">
            <w:pPr>
              <w:snapToGrid w:val="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氦三充气压强</w:t>
            </w:r>
            <w:r>
              <w:rPr>
                <w:sz w:val="24"/>
              </w:rPr>
              <w:t>/atm</w:t>
            </w:r>
          </w:p>
        </w:tc>
        <w:tc>
          <w:tcPr>
            <w:tcW w:w="3805" w:type="dxa"/>
            <w:noWrap w:val="0"/>
            <w:vAlign w:val="center"/>
          </w:tcPr>
          <w:p w14:paraId="29CCA1BD">
            <w:pPr>
              <w:snapToGrid w:val="0"/>
              <w:jc w:val="left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2</w:t>
            </w:r>
            <w:r>
              <w:rPr>
                <w:sz w:val="24"/>
              </w:rPr>
              <w:t>0 ± 0.1</w:t>
            </w:r>
          </w:p>
        </w:tc>
      </w:tr>
      <w:tr w14:paraId="34313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916" w:type="dxa"/>
            <w:noWrap w:val="0"/>
            <w:vAlign w:val="center"/>
          </w:tcPr>
          <w:p w14:paraId="51FDBE0F">
            <w:pPr>
              <w:snapToGrid w:val="0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6</w:t>
            </w:r>
          </w:p>
        </w:tc>
        <w:tc>
          <w:tcPr>
            <w:tcW w:w="3460" w:type="dxa"/>
            <w:noWrap w:val="0"/>
            <w:vAlign w:val="center"/>
          </w:tcPr>
          <w:p w14:paraId="38535574">
            <w:pPr>
              <w:snapToGrid w:val="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相同高压下全能峰位偏差</w:t>
            </w:r>
          </w:p>
        </w:tc>
        <w:tc>
          <w:tcPr>
            <w:tcW w:w="3805" w:type="dxa"/>
            <w:noWrap w:val="0"/>
            <w:vAlign w:val="center"/>
          </w:tcPr>
          <w:p w14:paraId="32C28906">
            <w:pPr>
              <w:snapToGrid w:val="0"/>
              <w:jc w:val="left"/>
              <w:rPr>
                <w:sz w:val="24"/>
              </w:rPr>
            </w:pPr>
            <w:r>
              <w:rPr>
                <w:sz w:val="24"/>
              </w:rPr>
              <w:t>≤ ± 5%</w:t>
            </w:r>
          </w:p>
        </w:tc>
      </w:tr>
      <w:tr w14:paraId="753A0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916" w:type="dxa"/>
            <w:noWrap w:val="0"/>
            <w:vAlign w:val="center"/>
          </w:tcPr>
          <w:p w14:paraId="376BDA93">
            <w:pPr>
              <w:snapToGrid w:val="0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7</w:t>
            </w:r>
          </w:p>
        </w:tc>
        <w:tc>
          <w:tcPr>
            <w:tcW w:w="3460" w:type="dxa"/>
            <w:noWrap w:val="0"/>
            <w:vAlign w:val="center"/>
          </w:tcPr>
          <w:p w14:paraId="3C883E64">
            <w:pPr>
              <w:snapToGrid w:val="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能量分辨率</w:t>
            </w:r>
            <w:r>
              <w:rPr>
                <w:sz w:val="24"/>
              </w:rPr>
              <w:t>(FWHM)</w:t>
            </w:r>
          </w:p>
        </w:tc>
        <w:tc>
          <w:tcPr>
            <w:tcW w:w="3805" w:type="dxa"/>
            <w:noWrap w:val="0"/>
            <w:vAlign w:val="center"/>
          </w:tcPr>
          <w:p w14:paraId="4EBF4992">
            <w:pPr>
              <w:snapToGrid w:val="0"/>
              <w:jc w:val="left"/>
              <w:rPr>
                <w:sz w:val="24"/>
              </w:rPr>
            </w:pPr>
            <w:r>
              <w:rPr>
                <w:sz w:val="24"/>
              </w:rPr>
              <w:t>≤ 15%</w:t>
            </w:r>
          </w:p>
        </w:tc>
      </w:tr>
      <w:tr w14:paraId="5EE47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916" w:type="dxa"/>
            <w:noWrap w:val="0"/>
            <w:vAlign w:val="center"/>
          </w:tcPr>
          <w:p w14:paraId="03386E5D">
            <w:pPr>
              <w:snapToGrid w:val="0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8</w:t>
            </w:r>
          </w:p>
        </w:tc>
        <w:tc>
          <w:tcPr>
            <w:tcW w:w="3460" w:type="dxa"/>
            <w:noWrap w:val="0"/>
            <w:vAlign w:val="center"/>
          </w:tcPr>
          <w:p w14:paraId="627307E1">
            <w:pPr>
              <w:snapToGrid w:val="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工作高压坪斜</w:t>
            </w:r>
            <w:r>
              <w:rPr>
                <w:sz w:val="24"/>
              </w:rPr>
              <w:t>/%/100V</w:t>
            </w:r>
          </w:p>
        </w:tc>
        <w:tc>
          <w:tcPr>
            <w:tcW w:w="3805" w:type="dxa"/>
            <w:noWrap w:val="0"/>
            <w:vAlign w:val="center"/>
          </w:tcPr>
          <w:p w14:paraId="3C9A9607">
            <w:pPr>
              <w:snapToGrid w:val="0"/>
              <w:jc w:val="left"/>
              <w:rPr>
                <w:sz w:val="24"/>
              </w:rPr>
            </w:pPr>
            <w:r>
              <w:rPr>
                <w:sz w:val="24"/>
              </w:rPr>
              <w:t>≤ 5</w:t>
            </w:r>
          </w:p>
        </w:tc>
      </w:tr>
      <w:tr w14:paraId="08BBF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916" w:type="dxa"/>
            <w:noWrap w:val="0"/>
            <w:vAlign w:val="center"/>
          </w:tcPr>
          <w:p w14:paraId="6CB2437E">
            <w:pPr>
              <w:snapToGrid w:val="0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9</w:t>
            </w:r>
          </w:p>
        </w:tc>
        <w:tc>
          <w:tcPr>
            <w:tcW w:w="3460" w:type="dxa"/>
            <w:noWrap w:val="0"/>
            <w:vAlign w:val="center"/>
          </w:tcPr>
          <w:p w14:paraId="35C71EAD">
            <w:pPr>
              <w:snapToGrid w:val="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沿丝方向位置分辨</w:t>
            </w:r>
            <w:r>
              <w:rPr>
                <w:sz w:val="24"/>
              </w:rPr>
              <w:t>(FWHM)/mm</w:t>
            </w:r>
          </w:p>
        </w:tc>
        <w:tc>
          <w:tcPr>
            <w:tcW w:w="3805" w:type="dxa"/>
            <w:noWrap w:val="0"/>
            <w:vAlign w:val="center"/>
          </w:tcPr>
          <w:p w14:paraId="1B36CC6C">
            <w:pPr>
              <w:snapToGrid w:val="0"/>
              <w:jc w:val="left"/>
              <w:rPr>
                <w:rFonts w:hint="eastAsia" w:eastAsia="宋体"/>
                <w:sz w:val="24"/>
                <w:lang w:eastAsia="zh-CN"/>
              </w:rPr>
            </w:pPr>
            <w:r>
              <w:rPr>
                <w:sz w:val="24"/>
              </w:rPr>
              <w:t xml:space="preserve">≤ </w:t>
            </w:r>
            <w:r>
              <w:rPr>
                <w:rFonts w:hint="eastAsia"/>
                <w:sz w:val="24"/>
                <w:lang w:val="en-US" w:eastAsia="zh-CN"/>
              </w:rPr>
              <w:t>8</w:t>
            </w:r>
          </w:p>
        </w:tc>
      </w:tr>
    </w:tbl>
    <w:p w14:paraId="5FF7A8B7">
      <w:pPr>
        <w:tabs>
          <w:tab w:val="left" w:pos="426"/>
        </w:tabs>
        <w:adjustRightInd w:val="0"/>
        <w:snapToGrid w:val="0"/>
        <w:spacing w:line="240" w:lineRule="auto"/>
        <w:rPr>
          <w:sz w:val="24"/>
        </w:rPr>
      </w:pPr>
    </w:p>
    <w:p w14:paraId="0D51480F">
      <w:pPr>
        <w:tabs>
          <w:tab w:val="left" w:pos="426"/>
        </w:tabs>
        <w:adjustRightInd w:val="0"/>
        <w:snapToGrid w:val="0"/>
        <w:spacing w:line="240" w:lineRule="auto"/>
        <w:ind w:firstLine="482" w:firstLineChars="200"/>
        <w:rPr>
          <w:rFonts w:hint="eastAsia"/>
          <w:color w:val="FF0000"/>
          <w:sz w:val="24"/>
        </w:rPr>
      </w:pPr>
      <w:r>
        <w:rPr>
          <w:b/>
          <w:bCs/>
          <w:sz w:val="24"/>
        </w:rPr>
        <w:tab/>
      </w:r>
    </w:p>
    <w:p w14:paraId="02BC6DBE">
      <w:pPr>
        <w:numPr>
          <w:ilvl w:val="0"/>
          <w:numId w:val="0"/>
        </w:numPr>
        <w:tabs>
          <w:tab w:val="left" w:pos="426"/>
        </w:tabs>
        <w:adjustRightInd w:val="0"/>
        <w:snapToGrid w:val="0"/>
        <w:spacing w:line="240" w:lineRule="auto"/>
        <w:outlineLvl w:val="2"/>
        <w:rPr>
          <w:rFonts w:hint="eastAsia"/>
          <w:b/>
          <w:sz w:val="24"/>
        </w:rPr>
      </w:pPr>
      <w:r>
        <w:rPr>
          <w:rFonts w:hint="eastAsia"/>
          <w:b/>
          <w:sz w:val="24"/>
          <w:lang w:val="en-US" w:eastAsia="zh-CN"/>
        </w:rPr>
        <w:t>2</w:t>
      </w:r>
      <w:r>
        <w:rPr>
          <w:rFonts w:hint="eastAsia"/>
          <w:b/>
          <w:sz w:val="24"/>
        </w:rPr>
        <w:t>.参考图纸</w:t>
      </w:r>
    </w:p>
    <w:p w14:paraId="5284BEFC">
      <w:pPr>
        <w:tabs>
          <w:tab w:val="left" w:pos="426"/>
        </w:tabs>
        <w:adjustRightInd w:val="0"/>
        <w:snapToGrid w:val="0"/>
        <w:spacing w:line="240" w:lineRule="auto"/>
        <w:jc w:val="center"/>
        <w:rPr>
          <w:rFonts w:hint="eastAsia"/>
          <w:sz w:val="24"/>
        </w:rPr>
      </w:pPr>
      <w:r>
        <w:drawing>
          <wp:inline distT="0" distB="0" distL="114300" distR="114300">
            <wp:extent cx="5271770" cy="3651885"/>
            <wp:effectExtent l="0" t="0" r="508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5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B9093">
      <w:pPr>
        <w:jc w:val="center"/>
        <w:rPr>
          <w:rFonts w:hint="eastAsia"/>
          <w:sz w:val="24"/>
        </w:rPr>
      </w:pPr>
      <w:r>
        <w:rPr>
          <w:rFonts w:hint="eastAsia"/>
          <w:sz w:val="24"/>
          <w:szCs w:val="22"/>
          <w:lang w:val="en-US" w:eastAsia="zh-CN"/>
        </w:rPr>
        <w:t>弹性漫散射位置灵敏型</w:t>
      </w:r>
      <w:r>
        <w:rPr>
          <w:sz w:val="24"/>
          <w:szCs w:val="22"/>
          <w:vertAlign w:val="superscript"/>
        </w:rPr>
        <w:t>3</w:t>
      </w:r>
      <w:r>
        <w:rPr>
          <w:sz w:val="24"/>
          <w:szCs w:val="22"/>
        </w:rPr>
        <w:t>He</w:t>
      </w:r>
      <w:r>
        <w:rPr>
          <w:rFonts w:hint="eastAsia"/>
          <w:sz w:val="24"/>
          <w:szCs w:val="22"/>
          <w:lang w:val="en-US" w:eastAsia="zh-CN"/>
        </w:rPr>
        <w:t>样管</w:t>
      </w:r>
      <w:r>
        <w:rPr>
          <w:rFonts w:hint="eastAsia"/>
          <w:sz w:val="24"/>
        </w:rPr>
        <w:t>参考图纸</w:t>
      </w:r>
    </w:p>
    <w:p w14:paraId="7F121875">
      <w:pPr>
        <w:jc w:val="center"/>
        <w:rPr>
          <w:sz w:val="24"/>
        </w:rPr>
      </w:pPr>
      <w:r>
        <w:rPr>
          <w:rFonts w:hint="eastAsia"/>
          <w:sz w:val="24"/>
        </w:rPr>
        <w:t>（仅供设计参考，最后以合同图纸为准）</w:t>
      </w:r>
    </w:p>
    <w:p w14:paraId="7C7012B0">
      <w:pPr>
        <w:tabs>
          <w:tab w:val="left" w:pos="426"/>
        </w:tabs>
        <w:adjustRightInd w:val="0"/>
        <w:snapToGrid w:val="0"/>
        <w:spacing w:line="240" w:lineRule="auto"/>
        <w:jc w:val="center"/>
        <w:rPr>
          <w:rFonts w:hint="eastAsia"/>
          <w:sz w:val="24"/>
        </w:rPr>
      </w:pPr>
    </w:p>
    <w:p w14:paraId="6004AE45">
      <w:pPr>
        <w:numPr>
          <w:ilvl w:val="0"/>
          <w:numId w:val="0"/>
        </w:numPr>
        <w:tabs>
          <w:tab w:val="left" w:pos="426"/>
        </w:tabs>
        <w:adjustRightInd w:val="0"/>
        <w:snapToGrid w:val="0"/>
        <w:spacing w:line="240" w:lineRule="auto"/>
        <w:outlineLvl w:val="2"/>
        <w:rPr>
          <w:rFonts w:hint="eastAsia"/>
          <w:b/>
          <w:sz w:val="24"/>
        </w:rPr>
      </w:pPr>
      <w:r>
        <w:rPr>
          <w:rFonts w:hint="eastAsia"/>
          <w:b/>
          <w:sz w:val="24"/>
          <w:lang w:val="en-US" w:eastAsia="zh-CN"/>
        </w:rPr>
        <w:t>3</w:t>
      </w:r>
      <w:r>
        <w:rPr>
          <w:rFonts w:hint="eastAsia"/>
          <w:b/>
          <w:sz w:val="24"/>
        </w:rPr>
        <w:t>.验收方法</w:t>
      </w:r>
    </w:p>
    <w:p w14:paraId="0FA83BC9">
      <w:pPr>
        <w:ind w:firstLine="480" w:firstLineChars="200"/>
        <w:rPr>
          <w:rFonts w:cs="仿宋"/>
          <w:sz w:val="24"/>
        </w:rPr>
      </w:pPr>
      <w:r>
        <w:rPr>
          <w:rFonts w:hint="eastAsia" w:cs="仿宋"/>
          <w:sz w:val="24"/>
        </w:rPr>
        <w:t>检验方法及标准以本章技术文件为准，对每只</w:t>
      </w:r>
      <w:r>
        <w:rPr>
          <w:rFonts w:hint="eastAsia" w:cs="仿宋"/>
          <w:sz w:val="24"/>
          <w:lang w:val="en-US" w:eastAsia="zh-CN"/>
        </w:rPr>
        <w:t>样管</w:t>
      </w:r>
      <w:r>
        <w:rPr>
          <w:rFonts w:hint="eastAsia" w:cs="仿宋"/>
          <w:sz w:val="24"/>
        </w:rPr>
        <w:t>进行检测，具体方法如下。</w:t>
      </w:r>
    </w:p>
    <w:p w14:paraId="070B980A">
      <w:pPr>
        <w:ind w:firstLine="480" w:firstLineChars="200"/>
        <w:rPr>
          <w:rFonts w:cs="仿宋"/>
          <w:sz w:val="24"/>
        </w:rPr>
      </w:pPr>
      <w:r>
        <w:rPr>
          <w:rFonts w:hint="eastAsia" w:cs="仿宋"/>
          <w:sz w:val="24"/>
          <w:lang w:val="en-US" w:eastAsia="zh-CN"/>
        </w:rPr>
        <w:t>3</w:t>
      </w:r>
      <w:r>
        <w:rPr>
          <w:rFonts w:hint="eastAsia" w:cs="仿宋"/>
          <w:sz w:val="24"/>
        </w:rPr>
        <w:t>.1．出厂测试验收：</w:t>
      </w:r>
    </w:p>
    <w:p w14:paraId="3809B1CD">
      <w:pPr>
        <w:ind w:firstLine="480" w:firstLineChars="200"/>
        <w:rPr>
          <w:rFonts w:cs="仿宋"/>
          <w:sz w:val="24"/>
        </w:rPr>
      </w:pPr>
      <w:r>
        <w:rPr>
          <w:rFonts w:hint="eastAsia" w:cs="仿宋"/>
          <w:sz w:val="24"/>
          <w:lang w:val="en-US" w:eastAsia="zh-CN"/>
        </w:rPr>
        <w:t>3</w:t>
      </w:r>
      <w:r>
        <w:rPr>
          <w:rFonts w:hint="eastAsia" w:cs="仿宋"/>
          <w:sz w:val="24"/>
        </w:rPr>
        <w:t>.1.1机械及电气性能检验：</w:t>
      </w:r>
    </w:p>
    <w:p w14:paraId="33932921">
      <w:pPr>
        <w:ind w:firstLine="480" w:firstLineChars="200"/>
        <w:rPr>
          <w:rFonts w:cs="仿宋"/>
          <w:sz w:val="24"/>
        </w:rPr>
      </w:pPr>
      <w:r>
        <w:rPr>
          <w:rFonts w:hint="eastAsia" w:cs="仿宋"/>
          <w:sz w:val="24"/>
          <w:lang w:val="en-US" w:eastAsia="zh-CN"/>
        </w:rPr>
        <w:t>3</w:t>
      </w:r>
      <w:r>
        <w:rPr>
          <w:rFonts w:hint="eastAsia" w:cs="仿宋"/>
          <w:sz w:val="24"/>
        </w:rPr>
        <w:t>.1.1.1 总长度：记录每只探测器的总长度</w:t>
      </w:r>
    </w:p>
    <w:p w14:paraId="69DB8FA8">
      <w:pPr>
        <w:ind w:firstLine="480" w:firstLineChars="200"/>
        <w:rPr>
          <w:rFonts w:cs="仿宋"/>
          <w:sz w:val="24"/>
        </w:rPr>
      </w:pPr>
      <w:r>
        <w:rPr>
          <w:rFonts w:hint="eastAsia" w:cs="仿宋"/>
          <w:sz w:val="24"/>
        </w:rPr>
        <w:t>测试方法，钢板尺。</w:t>
      </w:r>
    </w:p>
    <w:p w14:paraId="54B8F41A">
      <w:pPr>
        <w:ind w:firstLine="480" w:firstLineChars="200"/>
        <w:rPr>
          <w:rFonts w:cs="仿宋"/>
          <w:sz w:val="24"/>
        </w:rPr>
      </w:pPr>
      <w:r>
        <w:rPr>
          <w:rFonts w:hint="eastAsia" w:cs="仿宋"/>
          <w:sz w:val="24"/>
          <w:lang w:val="en-US" w:eastAsia="zh-CN"/>
        </w:rPr>
        <w:t>3</w:t>
      </w:r>
      <w:r>
        <w:rPr>
          <w:rFonts w:hint="eastAsia" w:cs="仿宋"/>
          <w:sz w:val="24"/>
        </w:rPr>
        <w:t>.1.1.2 直径：记录每只探测器的直径</w:t>
      </w:r>
    </w:p>
    <w:p w14:paraId="01DEA78A">
      <w:pPr>
        <w:ind w:firstLine="480" w:firstLineChars="200"/>
        <w:rPr>
          <w:rFonts w:cs="仿宋"/>
          <w:sz w:val="24"/>
        </w:rPr>
      </w:pPr>
      <w:r>
        <w:rPr>
          <w:rFonts w:hint="eastAsia" w:cs="仿宋"/>
          <w:sz w:val="24"/>
        </w:rPr>
        <w:t>测试方法，卡尺。</w:t>
      </w:r>
    </w:p>
    <w:p w14:paraId="6744C0F1">
      <w:pPr>
        <w:ind w:firstLine="480" w:firstLineChars="200"/>
        <w:rPr>
          <w:rFonts w:cs="仿宋"/>
          <w:sz w:val="24"/>
        </w:rPr>
      </w:pPr>
      <w:r>
        <w:rPr>
          <w:rFonts w:hint="eastAsia" w:cs="仿宋"/>
          <w:sz w:val="24"/>
          <w:lang w:val="en-US" w:eastAsia="zh-CN"/>
        </w:rPr>
        <w:t>3</w:t>
      </w:r>
      <w:r>
        <w:rPr>
          <w:rFonts w:hint="eastAsia" w:cs="仿宋"/>
          <w:sz w:val="24"/>
        </w:rPr>
        <w:t>.1.1.3</w:t>
      </w:r>
      <w:r>
        <w:rPr>
          <w:rFonts w:cs="仿宋"/>
          <w:sz w:val="24"/>
        </w:rPr>
        <w:t xml:space="preserve"> </w:t>
      </w:r>
      <w:r>
        <w:rPr>
          <w:rFonts w:hint="eastAsia" w:cs="仿宋"/>
          <w:sz w:val="24"/>
        </w:rPr>
        <w:t>直线度</w:t>
      </w:r>
      <w:r>
        <w:rPr>
          <w:rFonts w:hint="eastAsia" w:cs="仿宋"/>
          <w:sz w:val="24"/>
          <w:lang w:val="en-US" w:eastAsia="zh-CN"/>
        </w:rPr>
        <w:t>和精度</w:t>
      </w:r>
      <w:r>
        <w:rPr>
          <w:rFonts w:hint="eastAsia" w:cs="仿宋"/>
          <w:sz w:val="24"/>
        </w:rPr>
        <w:t>：</w:t>
      </w:r>
    </w:p>
    <w:p w14:paraId="29BB3945">
      <w:pPr>
        <w:snapToGrid w:val="0"/>
        <w:ind w:firstLine="480" w:firstLineChars="200"/>
        <w:rPr>
          <w:rFonts w:hint="eastAsia" w:cs="仿宋"/>
          <w:sz w:val="24"/>
        </w:rPr>
      </w:pPr>
      <w:r>
        <w:rPr>
          <w:rFonts w:hint="eastAsia" w:cs="仿宋"/>
          <w:sz w:val="24"/>
          <w:lang w:val="en-US" w:eastAsia="zh-CN"/>
        </w:rPr>
        <w:t>1）直线度</w:t>
      </w:r>
      <w:r>
        <w:rPr>
          <w:rFonts w:hint="eastAsia" w:cs="仿宋"/>
          <w:sz w:val="24"/>
        </w:rPr>
        <w:t>测试方法，在标准平台上用塞尺进行测试。</w:t>
      </w:r>
    </w:p>
    <w:p w14:paraId="6EB01876">
      <w:pPr>
        <w:snapToGrid w:val="0"/>
        <w:ind w:firstLine="480" w:firstLineChars="200"/>
        <w:rPr>
          <w:rFonts w:hint="eastAsia" w:eastAsia="宋体" w:cs="仿宋"/>
          <w:sz w:val="24"/>
          <w:lang w:val="en-US" w:eastAsia="zh-CN"/>
        </w:rPr>
      </w:pPr>
      <w:r>
        <w:rPr>
          <w:rFonts w:hint="eastAsia" w:cs="仿宋"/>
          <w:sz w:val="24"/>
          <w:lang w:val="en-US" w:eastAsia="zh-CN"/>
        </w:rPr>
        <w:t>2）</w:t>
      </w:r>
      <w:r>
        <w:rPr>
          <w:rFonts w:hint="eastAsia" w:cs="仿宋"/>
          <w:sz w:val="24"/>
        </w:rPr>
        <w:t>需提供两端直角接头精度检测数据，确保直角接头和管焊接的精度符合图纸要求。</w:t>
      </w:r>
    </w:p>
    <w:p w14:paraId="3CD358FE">
      <w:pPr>
        <w:ind w:firstLine="480" w:firstLineChars="200"/>
        <w:rPr>
          <w:rFonts w:cs="仿宋"/>
          <w:sz w:val="24"/>
        </w:rPr>
      </w:pPr>
      <w:r>
        <w:rPr>
          <w:rFonts w:hint="eastAsia" w:cs="仿宋"/>
          <w:sz w:val="24"/>
          <w:lang w:val="en-US" w:eastAsia="zh-CN"/>
        </w:rPr>
        <w:t>3</w:t>
      </w:r>
      <w:r>
        <w:rPr>
          <w:rFonts w:hint="eastAsia" w:cs="仿宋"/>
          <w:sz w:val="24"/>
        </w:rPr>
        <w:t>.1.1.4</w:t>
      </w:r>
      <w:r>
        <w:rPr>
          <w:rFonts w:cs="仿宋"/>
          <w:sz w:val="24"/>
        </w:rPr>
        <w:t xml:space="preserve"> </w:t>
      </w:r>
      <w:r>
        <w:rPr>
          <w:rFonts w:hint="eastAsia" w:cs="仿宋"/>
          <w:sz w:val="24"/>
        </w:rPr>
        <w:t>阳极丝电阻：记录阳极丝电阻</w:t>
      </w:r>
    </w:p>
    <w:p w14:paraId="58B0A149">
      <w:pPr>
        <w:snapToGrid w:val="0"/>
        <w:ind w:firstLine="480" w:firstLineChars="200"/>
        <w:rPr>
          <w:rFonts w:hint="eastAsia" w:eastAsia="宋体"/>
          <w:sz w:val="24"/>
          <w:lang w:eastAsia="zh-CN"/>
        </w:rPr>
      </w:pPr>
      <w:r>
        <w:rPr>
          <w:rFonts w:hint="eastAsia"/>
          <w:sz w:val="24"/>
        </w:rPr>
        <w:t>测试方法，欧姆表</w:t>
      </w:r>
      <w:r>
        <w:rPr>
          <w:rFonts w:hint="eastAsia"/>
          <w:sz w:val="24"/>
          <w:lang w:eastAsia="zh-CN"/>
        </w:rPr>
        <w:t>。</w:t>
      </w:r>
    </w:p>
    <w:p w14:paraId="326A652B">
      <w:pPr>
        <w:snapToGrid w:val="0"/>
        <w:ind w:firstLine="480" w:firstLineChars="200"/>
        <w:rPr>
          <w:sz w:val="24"/>
        </w:rPr>
      </w:pP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>.1.</w:t>
      </w:r>
      <w:r>
        <w:rPr>
          <w:sz w:val="24"/>
        </w:rPr>
        <w:t>1.5</w:t>
      </w:r>
      <w:r>
        <w:rPr>
          <w:sz w:val="24"/>
          <w:vertAlign w:val="superscript"/>
        </w:rPr>
        <w:t xml:space="preserve"> 3</w:t>
      </w:r>
      <w:r>
        <w:rPr>
          <w:sz w:val="24"/>
        </w:rPr>
        <w:t>He</w:t>
      </w:r>
      <w:r>
        <w:rPr>
          <w:rFonts w:hint="eastAsia"/>
          <w:sz w:val="24"/>
        </w:rPr>
        <w:t>充气压力记录</w:t>
      </w:r>
    </w:p>
    <w:p w14:paraId="6371685D">
      <w:pPr>
        <w:pStyle w:val="4"/>
        <w:snapToGrid w:val="0"/>
        <w:spacing w:after="0"/>
        <w:ind w:left="0" w:leftChars="0" w:firstLine="480"/>
        <w:rPr>
          <w:sz w:val="24"/>
        </w:rPr>
      </w:pPr>
      <w:r>
        <w:rPr>
          <w:sz w:val="24"/>
        </w:rPr>
        <w:t>测试方法：保持恒温条件(23±3</w:t>
      </w:r>
      <w:r>
        <w:rPr>
          <w:rFonts w:hint="eastAsia" w:ascii="宋体" w:hAnsi="宋体" w:cs="宋体"/>
          <w:sz w:val="24"/>
        </w:rPr>
        <w:t>℃</w:t>
      </w:r>
      <w:r>
        <w:rPr>
          <w:sz w:val="24"/>
        </w:rPr>
        <w:t>)，提供生产加工时，每只</w:t>
      </w:r>
      <w:r>
        <w:rPr>
          <w:rFonts w:hint="eastAsia"/>
          <w:sz w:val="24"/>
          <w:lang w:val="en-US" w:eastAsia="zh-CN"/>
        </w:rPr>
        <w:t>样管</w:t>
      </w:r>
      <w:r>
        <w:rPr>
          <w:sz w:val="24"/>
        </w:rPr>
        <w:t>充气时</w:t>
      </w:r>
      <w:r>
        <w:rPr>
          <w:sz w:val="24"/>
          <w:vertAlign w:val="superscript"/>
        </w:rPr>
        <w:t>3</w:t>
      </w:r>
      <w:r>
        <w:rPr>
          <w:sz w:val="24"/>
        </w:rPr>
        <w:t>He压力的充气数值记录表，并记录在最终报告中。</w:t>
      </w:r>
    </w:p>
    <w:p w14:paraId="40C90432">
      <w:pPr>
        <w:snapToGrid w:val="0"/>
        <w:ind w:firstLine="480" w:firstLineChars="200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 xml:space="preserve">.1.1.6 </w:t>
      </w:r>
      <w:r>
        <w:rPr>
          <w:sz w:val="24"/>
        </w:rPr>
        <w:t xml:space="preserve"> </w:t>
      </w:r>
      <w:r>
        <w:rPr>
          <w:rFonts w:hint="eastAsia"/>
          <w:sz w:val="24"/>
          <w:lang w:val="en-US" w:eastAsia="zh-CN"/>
        </w:rPr>
        <w:t>密封性测试</w:t>
      </w:r>
    </w:p>
    <w:p w14:paraId="6A17C9ED">
      <w:pPr>
        <w:snapToGrid w:val="0"/>
        <w:ind w:firstLine="480" w:firstLineChars="200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1）弯头密封性检测</w:t>
      </w:r>
    </w:p>
    <w:p w14:paraId="3B7ED7C3">
      <w:pPr>
        <w:snapToGrid w:val="0"/>
        <w:ind w:firstLine="480" w:firstLineChars="200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弯头加工完成后进行出厂密封性检测，测试方法：将弯头一端堵住，另一端连接</w:t>
      </w:r>
      <w:r>
        <w:rPr>
          <w:sz w:val="24"/>
        </w:rPr>
        <w:t>氦气检漏仪</w:t>
      </w:r>
      <w:r>
        <w:rPr>
          <w:rFonts w:hint="eastAsia"/>
          <w:sz w:val="24"/>
          <w:lang w:val="en-US" w:eastAsia="zh-CN"/>
        </w:rPr>
        <w:t>抽气检漏，</w:t>
      </w:r>
      <w:r>
        <w:rPr>
          <w:sz w:val="24"/>
        </w:rPr>
        <w:t>泄漏率应小于1*10</w:t>
      </w:r>
      <w:r>
        <w:rPr>
          <w:sz w:val="24"/>
          <w:vertAlign w:val="superscript"/>
        </w:rPr>
        <w:t>-</w:t>
      </w:r>
      <w:r>
        <w:rPr>
          <w:rFonts w:hint="eastAsia"/>
          <w:sz w:val="24"/>
          <w:vertAlign w:val="superscript"/>
          <w:lang w:val="en-US" w:eastAsia="zh-CN"/>
        </w:rPr>
        <w:t>10</w:t>
      </w:r>
      <w:r>
        <w:rPr>
          <w:sz w:val="24"/>
          <w:vertAlign w:val="superscript"/>
        </w:rPr>
        <w:t xml:space="preserve"> </w:t>
      </w:r>
      <w:r>
        <w:rPr>
          <w:sz w:val="24"/>
        </w:rPr>
        <w:t>Pa.m</w:t>
      </w:r>
      <w:r>
        <w:rPr>
          <w:sz w:val="24"/>
          <w:vertAlign w:val="superscript"/>
        </w:rPr>
        <w:t>3</w:t>
      </w:r>
      <w:r>
        <w:rPr>
          <w:sz w:val="24"/>
        </w:rPr>
        <w:t>/s。</w:t>
      </w:r>
    </w:p>
    <w:p w14:paraId="6DB98424">
      <w:pPr>
        <w:snapToGrid w:val="0"/>
        <w:ind w:firstLine="480" w:firstLineChars="200"/>
        <w:rPr>
          <w:sz w:val="24"/>
        </w:rPr>
      </w:pPr>
      <w:r>
        <w:rPr>
          <w:rFonts w:hint="eastAsia"/>
          <w:sz w:val="24"/>
          <w:lang w:val="en-US" w:eastAsia="zh-CN"/>
        </w:rPr>
        <w:t>2）样管</w:t>
      </w:r>
      <w:r>
        <w:rPr>
          <w:sz w:val="24"/>
          <w:vertAlign w:val="superscript"/>
        </w:rPr>
        <w:t>3</w:t>
      </w:r>
      <w:r>
        <w:rPr>
          <w:sz w:val="24"/>
        </w:rPr>
        <w:t>He气体泄漏率测试</w:t>
      </w:r>
    </w:p>
    <w:p w14:paraId="31C6D278">
      <w:pPr>
        <w:snapToGrid w:val="0"/>
        <w:ind w:firstLine="480" w:firstLineChars="200"/>
        <w:rPr>
          <w:sz w:val="24"/>
        </w:rPr>
      </w:pPr>
      <w:r>
        <w:rPr>
          <w:rFonts w:hint="eastAsia"/>
          <w:sz w:val="24"/>
          <w:vertAlign w:val="superscript"/>
          <w:lang w:val="en-US" w:eastAsia="zh-CN"/>
        </w:rPr>
        <w:t>3</w:t>
      </w:r>
      <w:r>
        <w:rPr>
          <w:rFonts w:hint="eastAsia"/>
          <w:sz w:val="24"/>
          <w:lang w:val="en-US" w:eastAsia="zh-CN"/>
        </w:rPr>
        <w:t>He管</w:t>
      </w:r>
      <w:r>
        <w:rPr>
          <w:sz w:val="24"/>
        </w:rPr>
        <w:t>完成充气后放置到真空腔内通过抽真空进行整体检漏，使用氦气检漏仪，泄漏率应小于1*10</w:t>
      </w:r>
      <w:r>
        <w:rPr>
          <w:sz w:val="24"/>
          <w:vertAlign w:val="superscript"/>
        </w:rPr>
        <w:t xml:space="preserve">-9 </w:t>
      </w:r>
      <w:r>
        <w:rPr>
          <w:sz w:val="24"/>
        </w:rPr>
        <w:t>Pa.m</w:t>
      </w:r>
      <w:r>
        <w:rPr>
          <w:sz w:val="24"/>
          <w:vertAlign w:val="superscript"/>
        </w:rPr>
        <w:t>3</w:t>
      </w:r>
      <w:r>
        <w:rPr>
          <w:sz w:val="24"/>
        </w:rPr>
        <w:t>/s。</w:t>
      </w:r>
    </w:p>
    <w:p w14:paraId="38489870">
      <w:pPr>
        <w:numPr>
          <w:ilvl w:val="0"/>
          <w:numId w:val="1"/>
        </w:numPr>
        <w:snapToGrid w:val="0"/>
        <w:ind w:firstLine="480" w:firstLineChars="200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样管弯头焊接后密封性检测</w:t>
      </w:r>
    </w:p>
    <w:p w14:paraId="32AEE344">
      <w:pPr>
        <w:numPr>
          <w:ilvl w:val="-1"/>
          <w:numId w:val="0"/>
        </w:numPr>
        <w:snapToGrid w:val="0"/>
        <w:ind w:firstLine="420" w:firstLineChars="0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弯头焊接后进行焊接位置与密封圈位置的密封性检测，测试方法：使用检漏转接件，一端连接焊接弯头，另一端连接</w:t>
      </w:r>
      <w:r>
        <w:rPr>
          <w:sz w:val="24"/>
        </w:rPr>
        <w:t>氦气检漏仪</w:t>
      </w:r>
      <w:r>
        <w:rPr>
          <w:rFonts w:hint="eastAsia"/>
          <w:sz w:val="24"/>
          <w:lang w:eastAsia="zh-CN"/>
        </w:rPr>
        <w:t>，</w:t>
      </w:r>
      <w:r>
        <w:rPr>
          <w:sz w:val="24"/>
        </w:rPr>
        <w:t>泄漏率应小于1*10</w:t>
      </w:r>
      <w:r>
        <w:rPr>
          <w:sz w:val="24"/>
          <w:vertAlign w:val="superscript"/>
        </w:rPr>
        <w:t xml:space="preserve">-9 </w:t>
      </w:r>
      <w:r>
        <w:rPr>
          <w:sz w:val="24"/>
        </w:rPr>
        <w:t>Pa.m</w:t>
      </w:r>
      <w:r>
        <w:rPr>
          <w:sz w:val="24"/>
          <w:vertAlign w:val="superscript"/>
        </w:rPr>
        <w:t>3</w:t>
      </w:r>
      <w:r>
        <w:rPr>
          <w:sz w:val="24"/>
        </w:rPr>
        <w:t>/s</w:t>
      </w:r>
      <w:r>
        <w:rPr>
          <w:rFonts w:hint="eastAsia"/>
          <w:sz w:val="24"/>
          <w:lang w:eastAsia="zh-CN"/>
        </w:rPr>
        <w:t>。</w:t>
      </w:r>
    </w:p>
    <w:p w14:paraId="2CC72172">
      <w:pPr>
        <w:adjustRightInd w:val="0"/>
        <w:ind w:firstLine="480" w:firstLineChars="200"/>
        <w:textAlignment w:val="baseline"/>
        <w:rPr>
          <w:rFonts w:cs="仿宋"/>
          <w:sz w:val="24"/>
        </w:rPr>
      </w:pPr>
      <w:r>
        <w:rPr>
          <w:rFonts w:hint="eastAsia" w:cs="仿宋"/>
          <w:sz w:val="24"/>
          <w:lang w:val="en-US" w:eastAsia="zh-CN"/>
        </w:rPr>
        <w:t>3</w:t>
      </w:r>
      <w:r>
        <w:rPr>
          <w:rFonts w:hint="eastAsia" w:cs="仿宋"/>
          <w:sz w:val="24"/>
        </w:rPr>
        <w:t>.1.2中子性能测试</w:t>
      </w:r>
    </w:p>
    <w:p w14:paraId="52B9ECB5">
      <w:pPr>
        <w:adjustRightInd w:val="0"/>
        <w:ind w:firstLine="480" w:firstLineChars="200"/>
        <w:textAlignment w:val="baseline"/>
        <w:rPr>
          <w:rFonts w:cs="仿宋"/>
          <w:sz w:val="24"/>
        </w:rPr>
      </w:pPr>
      <w:r>
        <w:rPr>
          <w:rFonts w:hint="eastAsia" w:cs="仿宋"/>
          <w:sz w:val="24"/>
          <w:lang w:val="en-US" w:eastAsia="zh-CN"/>
        </w:rPr>
        <w:t>3</w:t>
      </w:r>
      <w:r>
        <w:rPr>
          <w:rFonts w:hint="eastAsia" w:cs="仿宋"/>
          <w:sz w:val="24"/>
        </w:rPr>
        <w:t>.1.2.1能谱及能量分辨率测试</w:t>
      </w:r>
    </w:p>
    <w:p w14:paraId="5D62159E">
      <w:pPr>
        <w:snapToGrid w:val="0"/>
        <w:ind w:firstLine="480" w:firstLineChars="200"/>
        <w:rPr>
          <w:sz w:val="24"/>
        </w:rPr>
      </w:pPr>
      <w:r>
        <w:rPr>
          <w:sz w:val="24"/>
        </w:rPr>
        <w:t>测试方法，使用中子源，进行一定时间数据采集。能量分辨率用半高宽除以全能峰道值计算获得，并统计相同高压峰位偏差。测试仪器，Ortec 142 IH 前放，Ortec 572A 主放，Ortec Easy-MCA-8k 多道分析仪和CA</w:t>
      </w:r>
      <w:r>
        <w:rPr>
          <w:rFonts w:hint="eastAsia"/>
          <w:sz w:val="24"/>
        </w:rPr>
        <w:t>E</w:t>
      </w:r>
      <w:r>
        <w:rPr>
          <w:sz w:val="24"/>
        </w:rPr>
        <w:t>N NDT1471高压电源。</w:t>
      </w:r>
    </w:p>
    <w:p w14:paraId="6F7B4190">
      <w:pPr>
        <w:ind w:firstLine="480" w:firstLineChars="200"/>
        <w:rPr>
          <w:rFonts w:cs="仿宋"/>
          <w:sz w:val="24"/>
        </w:rPr>
      </w:pPr>
      <w:r>
        <w:rPr>
          <w:rFonts w:hint="eastAsia" w:cs="仿宋"/>
          <w:sz w:val="24"/>
          <w:lang w:val="en-US" w:eastAsia="zh-CN"/>
        </w:rPr>
        <w:t>3</w:t>
      </w:r>
      <w:r>
        <w:rPr>
          <w:rFonts w:hint="eastAsia" w:cs="仿宋"/>
          <w:sz w:val="24"/>
        </w:rPr>
        <w:t>.1.2.2坪曲线测试</w:t>
      </w:r>
    </w:p>
    <w:p w14:paraId="226BFF7A">
      <w:pPr>
        <w:ind w:firstLine="480" w:firstLineChars="200"/>
        <w:rPr>
          <w:sz w:val="24"/>
        </w:rPr>
      </w:pPr>
      <w:r>
        <w:rPr>
          <w:sz w:val="24"/>
        </w:rPr>
        <w:t>测试方法，在工作高压区间内，每50V作为一个采样点，使用中子源，进行计数测试。坪曲线斜率，为两个采样点的计数率的差值除以这两个点的总计数来确定。测试仪器，Ortec 142 IH 前放，Ortec 572A 主放，Ortec Easy-MCA-8k 多道分析仪和CAEN NDT1471高压电源。</w:t>
      </w:r>
    </w:p>
    <w:p w14:paraId="1472160F">
      <w:pPr>
        <w:ind w:firstLine="480" w:firstLineChars="200"/>
        <w:rPr>
          <w:rFonts w:cs="仿宋"/>
          <w:sz w:val="24"/>
        </w:rPr>
      </w:pP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>.1.2.3</w:t>
      </w:r>
      <w:r>
        <w:rPr>
          <w:rFonts w:hint="eastAsia" w:cs="仿宋"/>
          <w:sz w:val="24"/>
        </w:rPr>
        <w:t>位置分辨率</w:t>
      </w:r>
    </w:p>
    <w:p w14:paraId="7FFC6C2F">
      <w:pPr>
        <w:snapToGrid w:val="0"/>
        <w:ind w:firstLine="480" w:firstLineChars="200"/>
        <w:rPr>
          <w:sz w:val="24"/>
        </w:rPr>
      </w:pPr>
      <w:r>
        <w:rPr>
          <w:sz w:val="24"/>
        </w:rPr>
        <w:t>测试方法，用中子源和带狭缝的中子吸收板得到位置谱图。中子源放置在距离探测器旁，数据采集到多道分析仪，每道采集的数据达到一定统计量。对应狭缝的峰位通过高斯函数（A*exp（</w:t>
      </w:r>
      <w:r>
        <w:rPr>
          <w:rFonts w:hint="eastAsia"/>
          <w:sz w:val="24"/>
        </w:rPr>
        <w:t>-</w:t>
      </w:r>
      <w:r>
        <w:rPr>
          <w:sz w:val="24"/>
        </w:rPr>
        <w:t>0.5*（x-x0）^2/sigma^2））拟合得到sigma。位置分辨为高斯分布的半高宽，FWHM = 2.36*sigma。 数据通过 Mesytec电子学或</w:t>
      </w:r>
      <w:r>
        <w:rPr>
          <w:rFonts w:hint="eastAsia"/>
          <w:sz w:val="24"/>
          <w:lang w:val="en-US" w:eastAsia="zh-CN"/>
        </w:rPr>
        <w:t>采购人</w:t>
      </w:r>
      <w:r>
        <w:rPr>
          <w:sz w:val="24"/>
        </w:rPr>
        <w:t>自研电子学系统采集。</w:t>
      </w:r>
    </w:p>
    <w:p w14:paraId="63F69AA6">
      <w:pPr>
        <w:snapToGrid w:val="0"/>
        <w:ind w:firstLine="480" w:firstLineChars="200"/>
        <w:rPr>
          <w:sz w:val="24"/>
        </w:rPr>
      </w:pP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>.1.3</w:t>
      </w:r>
      <w:r>
        <w:rPr>
          <w:sz w:val="24"/>
        </w:rPr>
        <w:t>除上述测试外，</w:t>
      </w:r>
      <w:r>
        <w:rPr>
          <w:rFonts w:hint="eastAsia"/>
          <w:sz w:val="24"/>
          <w:lang w:val="en-US" w:eastAsia="zh-CN"/>
        </w:rPr>
        <w:t>采购人</w:t>
      </w:r>
      <w:r>
        <w:rPr>
          <w:sz w:val="24"/>
        </w:rPr>
        <w:t>有权根据生产实际与项目需要，增补合理的测试项目，以确保产品质量达标。</w:t>
      </w:r>
    </w:p>
    <w:p w14:paraId="45086DD8">
      <w:pPr>
        <w:ind w:firstLine="424" w:firstLineChars="177"/>
        <w:rPr>
          <w:sz w:val="24"/>
        </w:rPr>
      </w:pP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 xml:space="preserve">.1.4 </w:t>
      </w:r>
      <w:r>
        <w:rPr>
          <w:rFonts w:hint="eastAsia"/>
          <w:sz w:val="24"/>
          <w:lang w:val="en-US" w:eastAsia="zh-CN"/>
        </w:rPr>
        <w:t>中标人</w:t>
      </w:r>
      <w:r>
        <w:rPr>
          <w:rFonts w:hint="eastAsia" w:cs="仿宋"/>
          <w:sz w:val="24"/>
        </w:rPr>
        <w:t>组织</w:t>
      </w:r>
      <w:r>
        <w:rPr>
          <w:rFonts w:hint="eastAsia" w:cs="仿宋"/>
          <w:sz w:val="24"/>
          <w:lang w:val="en-US" w:eastAsia="zh-CN"/>
        </w:rPr>
        <w:t>采购人</w:t>
      </w:r>
      <w:r>
        <w:rPr>
          <w:rFonts w:hint="eastAsia" w:cs="仿宋"/>
          <w:sz w:val="24"/>
        </w:rPr>
        <w:t>指定专家进行出厂测试验收，通过上述检测的产品发往甲方项目地，开展进一步束流测试。</w:t>
      </w:r>
    </w:p>
    <w:p w14:paraId="78FD477C">
      <w:pPr>
        <w:numPr>
          <w:ilvl w:val="0"/>
          <w:numId w:val="0"/>
        </w:numPr>
        <w:snapToGrid w:val="0"/>
        <w:ind w:firstLine="480" w:firstLineChars="200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 xml:space="preserve">.2 </w:t>
      </w:r>
      <w:r>
        <w:rPr>
          <w:rFonts w:hint="eastAsia"/>
          <w:sz w:val="24"/>
          <w:lang w:val="en-US" w:eastAsia="zh-CN"/>
        </w:rPr>
        <w:t>最终验收测试：</w:t>
      </w:r>
    </w:p>
    <w:p w14:paraId="5BB182A1">
      <w:pPr>
        <w:adjustRightInd w:val="0"/>
        <w:snapToGrid w:val="0"/>
        <w:ind w:firstLine="480" w:firstLineChars="200"/>
        <w:rPr>
          <w:sz w:val="24"/>
        </w:rPr>
      </w:pP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>.</w:t>
      </w:r>
      <w:r>
        <w:rPr>
          <w:rFonts w:hint="eastAsia"/>
          <w:sz w:val="24"/>
          <w:lang w:val="en-US" w:eastAsia="zh-CN"/>
        </w:rPr>
        <w:t>2.1</w:t>
      </w:r>
      <w:r>
        <w:rPr>
          <w:sz w:val="24"/>
        </w:rPr>
        <w:t>按规定到货后，由</w:t>
      </w:r>
      <w:r>
        <w:rPr>
          <w:rFonts w:hint="eastAsia"/>
          <w:sz w:val="24"/>
        </w:rPr>
        <w:t>采购人</w:t>
      </w:r>
      <w:r>
        <w:rPr>
          <w:sz w:val="24"/>
        </w:rPr>
        <w:t>组织技术人员会同</w:t>
      </w:r>
      <w:r>
        <w:rPr>
          <w:rFonts w:hint="eastAsia"/>
          <w:sz w:val="24"/>
          <w:lang w:val="en-US" w:eastAsia="zh-CN"/>
        </w:rPr>
        <w:t>中标人</w:t>
      </w:r>
      <w:r>
        <w:rPr>
          <w:sz w:val="24"/>
        </w:rPr>
        <w:t>授权代表共同开箱检测，检测</w:t>
      </w:r>
      <w:r>
        <w:rPr>
          <w:rFonts w:hint="eastAsia"/>
          <w:sz w:val="24"/>
          <w:lang w:val="en-US" w:eastAsia="zh-CN"/>
        </w:rPr>
        <w:t>每只样管</w:t>
      </w:r>
      <w:r>
        <w:rPr>
          <w:sz w:val="24"/>
        </w:rPr>
        <w:t>外观和电阻，确认产品运输无损害。</w:t>
      </w:r>
    </w:p>
    <w:p w14:paraId="032E0B78">
      <w:pPr>
        <w:adjustRightInd w:val="0"/>
        <w:snapToGrid w:val="0"/>
        <w:ind w:firstLine="480" w:firstLineChars="200"/>
        <w:rPr>
          <w:sz w:val="24"/>
        </w:rPr>
      </w:pPr>
      <w:r>
        <w:rPr>
          <w:rFonts w:hint="eastAsia"/>
          <w:sz w:val="24"/>
          <w:lang w:val="en-US" w:eastAsia="zh-CN"/>
        </w:rPr>
        <w:t>3</w:t>
      </w:r>
      <w:r>
        <w:rPr>
          <w:rFonts w:hint="eastAsia"/>
          <w:sz w:val="24"/>
        </w:rPr>
        <w:t>.</w:t>
      </w:r>
      <w:r>
        <w:rPr>
          <w:rFonts w:hint="eastAsia"/>
          <w:sz w:val="24"/>
          <w:lang w:val="en-US" w:eastAsia="zh-CN"/>
        </w:rPr>
        <w:t>2</w:t>
      </w:r>
      <w:r>
        <w:rPr>
          <w:rFonts w:hint="eastAsia"/>
          <w:sz w:val="24"/>
        </w:rPr>
        <w:t>.</w:t>
      </w:r>
      <w:r>
        <w:rPr>
          <w:rFonts w:hint="eastAsia"/>
          <w:sz w:val="24"/>
          <w:lang w:val="en-US" w:eastAsia="zh-CN"/>
        </w:rPr>
        <w:t>2</w:t>
      </w:r>
      <w:r>
        <w:rPr>
          <w:sz w:val="24"/>
        </w:rPr>
        <w:t>利用散裂中子源束流对</w:t>
      </w:r>
      <w:r>
        <w:rPr>
          <w:rFonts w:hint="eastAsia"/>
          <w:sz w:val="24"/>
          <w:lang w:val="en-US" w:eastAsia="zh-CN"/>
        </w:rPr>
        <w:t>每只样管</w:t>
      </w:r>
      <w:r>
        <w:rPr>
          <w:sz w:val="24"/>
        </w:rPr>
        <w:t>进行详细性能测试，确认性能达标。</w:t>
      </w:r>
    </w:p>
    <w:p w14:paraId="3CDA1C33">
      <w:pPr>
        <w:adjustRightInd w:val="0"/>
        <w:snapToGrid w:val="0"/>
        <w:ind w:firstLine="480" w:firstLineChars="200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3.2.3 将样管安装到中子束线上开展长期稳定性考验，时间不低于1个月。</w:t>
      </w:r>
    </w:p>
    <w:p w14:paraId="75728739">
      <w:pPr>
        <w:adjustRightInd w:val="0"/>
        <w:snapToGrid w:val="0"/>
        <w:ind w:firstLine="480" w:firstLineChars="200"/>
        <w:rPr>
          <w:rFonts w:hint="default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3.2.4 采购人组织专家结合出厂测试和现场测试结果，完成最终测试验收。</w:t>
      </w:r>
    </w:p>
    <w:p w14:paraId="684B3C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FFB352"/>
    <w:multiLevelType w:val="singleLevel"/>
    <w:tmpl w:val="C8FFB352"/>
    <w:lvl w:ilvl="0" w:tentative="0">
      <w:start w:val="3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D92D1A"/>
    <w:rsid w:val="02167A47"/>
    <w:rsid w:val="09116610"/>
    <w:rsid w:val="0C6C591E"/>
    <w:rsid w:val="0EC64481"/>
    <w:rsid w:val="105A7962"/>
    <w:rsid w:val="32A80F30"/>
    <w:rsid w:val="3DF0616C"/>
    <w:rsid w:val="4C3B029E"/>
    <w:rsid w:val="4E622BA2"/>
    <w:rsid w:val="4EB631FC"/>
    <w:rsid w:val="5F182AE5"/>
    <w:rsid w:val="60AC408B"/>
    <w:rsid w:val="65765C7F"/>
    <w:rsid w:val="721760B7"/>
    <w:rsid w:val="74E655A9"/>
    <w:rsid w:val="7BD9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adjustRightInd w:val="0"/>
      <w:snapToGrid w:val="0"/>
      <w:spacing w:before="156" w:beforeLines="50" w:line="400" w:lineRule="exact"/>
      <w:ind w:left="934"/>
    </w:pPr>
    <w:rPr>
      <w:rFonts w:ascii="宋体" w:hAnsi="宋体"/>
      <w:sz w:val="24"/>
    </w:rPr>
  </w:style>
  <w:style w:type="paragraph" w:styleId="3">
    <w:name w:val="envelope return"/>
    <w:basedOn w:val="1"/>
    <w:unhideWhenUsed/>
    <w:qFormat/>
    <w:uiPriority w:val="99"/>
    <w:pPr>
      <w:widowControl w:val="0"/>
      <w:snapToGrid w:val="0"/>
      <w:jc w:val="both"/>
    </w:pPr>
    <w:rPr>
      <w:rFonts w:ascii="Arial" w:hAnsi="Arial" w:eastAsia="宋体" w:cs="Times New Roman"/>
      <w:kern w:val="2"/>
      <w:sz w:val="21"/>
      <w:lang w:val="en-US" w:eastAsia="zh-CN" w:bidi="ar-SA"/>
    </w:rPr>
  </w:style>
  <w:style w:type="paragraph" w:styleId="4">
    <w:name w:val="Body Text First Indent 2"/>
    <w:basedOn w:val="2"/>
    <w:qFormat/>
    <w:uiPriority w:val="0"/>
    <w:pPr>
      <w:adjustRightInd/>
      <w:snapToGrid/>
      <w:spacing w:before="0" w:beforeLines="0" w:after="120" w:line="360" w:lineRule="auto"/>
      <w:ind w:left="420" w:leftChars="200" w:firstLine="420" w:firstLineChars="200"/>
    </w:pPr>
    <w:rPr>
      <w:rFonts w:ascii="Times New Roman" w:hAnsi="Times New Roman"/>
      <w:sz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1327</Words>
  <Characters>1639</Characters>
  <Lines>0</Lines>
  <Paragraphs>0</Paragraphs>
  <TotalTime>15</TotalTime>
  <ScaleCrop>false</ScaleCrop>
  <LinksUpToDate>false</LinksUpToDate>
  <CharactersWithSpaces>1690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2026-09-09T06:57:00Z</dcterms:created>
  <dc:creator>琦琦</dc:creator>
  <cp:lastModifiedBy>琦琦</cp:lastModifiedBy>
  <dcterms:modified xsi:type="dcterms:W3CDTF">2026-09-17T06:07:13Z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A223D6D0B43D44809FF599ACEFEBBE74_13</vt:lpwstr>
  </property>
  <property fmtid="{D5CDD505-2E9C-101B-9397-08002B2CF9AE}" pid="4" name="KSOTemplateDocerSaveRecord">
    <vt:lpwstr>eyJoZGlkIjoiMzMxOTBiZDU4MjM3MzAwZWMwMWUyNDkyYjBiOTUwZWEiLCJ1c2VySWQiOiIzNjEyMzQ4OTgifQ==</vt:lpwstr>
  </property>
</Properties>
</file>