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5767C3">
      <w:pPr>
        <w:pStyle w:val="15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textAlignment w:val="auto"/>
        <w:rPr>
          <w:rStyle w:val="18"/>
          <w:rFonts w:hint="eastAsia"/>
        </w:rPr>
      </w:pPr>
      <w:r>
        <w:rPr>
          <w:rStyle w:val="18"/>
        </w:rPr>
        <w:t>《技术指标及验收规范》</w:t>
      </w:r>
    </w:p>
    <w:p w14:paraId="477EA23A">
      <w:pPr>
        <w:pStyle w:val="3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eastAsia"/>
          <w:color w:val="auto"/>
          <w:sz w:val="44"/>
          <w:szCs w:val="44"/>
        </w:rPr>
      </w:pPr>
      <w:r>
        <w:rPr>
          <w:rFonts w:hint="eastAsia"/>
          <w:color w:val="auto"/>
          <w:sz w:val="44"/>
          <w:szCs w:val="44"/>
        </w:rPr>
        <w:t>技术指标要求</w:t>
      </w:r>
    </w:p>
    <w:p w14:paraId="72589B8F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textAlignment w:val="auto"/>
        <w:rPr>
          <w:rFonts w:ascii="Calibri" w:hAnsi="Calibri" w:eastAsia="宋体" w:cs="Times New Roman"/>
          <w:kern w:val="0"/>
          <w:sz w:val="24"/>
          <w14:ligatures w14:val="none"/>
        </w:rPr>
      </w:pPr>
      <w:r>
        <w:rPr>
          <w:rFonts w:ascii="Calibri" w:hAnsi="Calibri" w:eastAsia="宋体" w:cs="Times New Roman"/>
          <w:kern w:val="0"/>
          <w:sz w:val="24"/>
          <w14:ligatures w14:val="none"/>
        </w:rPr>
        <w:t>乙方交付成果应满足以下要求：</w:t>
      </w:r>
    </w:p>
    <w:p w14:paraId="4C54C026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textAlignment w:val="auto"/>
        <w:outlineLvl w:val="2"/>
        <w:rPr>
          <w:rFonts w:hint="eastAsia" w:ascii="宋体" w:hAnsi="宋体" w:eastAsia="宋体" w:cs="Times New Roman"/>
          <w:b/>
          <w:bCs/>
          <w:kern w:val="0"/>
          <w:sz w:val="27"/>
          <w:szCs w:val="27"/>
          <w14:ligatures w14:val="none"/>
        </w:rPr>
      </w:pPr>
      <w:r>
        <w:rPr>
          <w:rFonts w:ascii="宋体" w:hAnsi="宋体" w:eastAsia="宋体" w:cs="Times New Roman"/>
          <w:b/>
          <w:bCs/>
          <w:kern w:val="0"/>
          <w:sz w:val="27"/>
          <w:szCs w:val="27"/>
          <w14:ligatures w14:val="none"/>
        </w:rPr>
        <w:t>1. 排列与对位要求</w:t>
      </w:r>
    </w:p>
    <w:p w14:paraId="6A5C4DBD">
      <w:pPr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jc w:val="both"/>
        <w:textAlignment w:val="auto"/>
        <w:rPr>
          <w:rFonts w:ascii="Calibri" w:hAnsi="Calibri" w:eastAsia="宋体" w:cs="Times New Roman"/>
          <w:sz w:val="21"/>
          <w14:ligatures w14:val="none"/>
        </w:rPr>
      </w:pPr>
      <w:r>
        <w:rPr>
          <w:rFonts w:ascii="Calibri" w:hAnsi="Calibri" w:eastAsia="宋体" w:cs="Times New Roman"/>
          <w:sz w:val="21"/>
          <w14:ligatures w14:val="none"/>
        </w:rPr>
        <w:t xml:space="preserve">中子闪烁屏应按 5×10 阵列布置； </w:t>
      </w:r>
    </w:p>
    <w:p w14:paraId="721F46FD">
      <w:pPr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jc w:val="both"/>
        <w:textAlignment w:val="auto"/>
        <w:rPr>
          <w:rFonts w:ascii="Calibri" w:hAnsi="Calibri" w:eastAsia="宋体" w:cs="Times New Roman"/>
          <w:sz w:val="21"/>
          <w14:ligatures w14:val="none"/>
        </w:rPr>
      </w:pPr>
      <w:r>
        <w:rPr>
          <w:rFonts w:ascii="Calibri" w:hAnsi="Calibri" w:eastAsia="宋体" w:cs="Times New Roman"/>
          <w:sz w:val="21"/>
          <w14:ligatures w14:val="none"/>
        </w:rPr>
        <w:t xml:space="preserve">阵列在玻璃光导上应中心对称、排列整齐、间距均匀； </w:t>
      </w:r>
    </w:p>
    <w:p w14:paraId="34F3575D">
      <w:pPr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jc w:val="both"/>
        <w:textAlignment w:val="auto"/>
        <w:rPr>
          <w:rFonts w:ascii="Calibri" w:hAnsi="Calibri" w:eastAsia="宋体" w:cs="Times New Roman"/>
          <w:sz w:val="21"/>
          <w14:ligatures w14:val="none"/>
        </w:rPr>
      </w:pPr>
      <w:r>
        <w:rPr>
          <w:rFonts w:ascii="Calibri" w:hAnsi="Calibri" w:eastAsia="宋体" w:cs="Times New Roman"/>
          <w:sz w:val="21"/>
          <w14:ligatures w14:val="none"/>
        </w:rPr>
        <w:t xml:space="preserve">单片位置偏差不大于 </w:t>
      </w:r>
      <w:r>
        <w:rPr>
          <w:rFonts w:ascii="Calibri" w:hAnsi="Calibri" w:eastAsia="宋体" w:cs="Times New Roman"/>
          <w:b/>
          <w:sz w:val="21"/>
          <w14:ligatures w14:val="none"/>
        </w:rPr>
        <w:t>0.</w:t>
      </w:r>
      <w:r>
        <w:rPr>
          <w:rFonts w:hint="eastAsia" w:ascii="Calibri" w:hAnsi="Calibri" w:eastAsia="宋体" w:cs="Times New Roman"/>
          <w:b/>
          <w:sz w:val="21"/>
          <w:lang w:val="en-US" w:eastAsia="zh-CN"/>
          <w14:ligatures w14:val="none"/>
        </w:rPr>
        <w:t>3</w:t>
      </w:r>
      <w:r>
        <w:rPr>
          <w:rFonts w:ascii="Calibri" w:hAnsi="Calibri" w:eastAsia="宋体" w:cs="Times New Roman"/>
          <w:b/>
          <w:sz w:val="21"/>
          <w14:ligatures w14:val="none"/>
        </w:rPr>
        <w:t xml:space="preserve"> mm</w:t>
      </w:r>
      <w:r>
        <w:rPr>
          <w:rFonts w:ascii="Calibri" w:hAnsi="Calibri" w:eastAsia="宋体" w:cs="Times New Roman"/>
          <w:sz w:val="21"/>
          <w14:ligatures w14:val="none"/>
        </w:rPr>
        <w:t xml:space="preserve">； </w:t>
      </w:r>
    </w:p>
    <w:p w14:paraId="766B6392">
      <w:pPr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jc w:val="both"/>
        <w:textAlignment w:val="auto"/>
        <w:rPr>
          <w:rFonts w:ascii="Calibri" w:hAnsi="Calibri" w:eastAsia="宋体" w:cs="Times New Roman"/>
          <w:sz w:val="21"/>
          <w14:ligatures w14:val="none"/>
        </w:rPr>
      </w:pPr>
      <w:r>
        <w:rPr>
          <w:rFonts w:ascii="Calibri" w:hAnsi="Calibri" w:eastAsia="宋体" w:cs="Times New Roman"/>
          <w:sz w:val="21"/>
          <w14:ligatures w14:val="none"/>
        </w:rPr>
        <w:t xml:space="preserve">粘接后整体不得出现明显歪斜、错列、局部翘起。 </w:t>
      </w:r>
    </w:p>
    <w:p w14:paraId="10D7E19C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textAlignment w:val="auto"/>
        <w:outlineLvl w:val="2"/>
        <w:rPr>
          <w:rFonts w:hint="eastAsia" w:ascii="宋体" w:hAnsi="宋体" w:eastAsia="宋体" w:cs="Times New Roman"/>
          <w:b/>
          <w:bCs/>
          <w:kern w:val="0"/>
          <w:sz w:val="27"/>
          <w:szCs w:val="27"/>
          <w14:ligatures w14:val="none"/>
        </w:rPr>
      </w:pPr>
      <w:r>
        <w:rPr>
          <w:rFonts w:ascii="宋体" w:hAnsi="宋体" w:eastAsia="宋体" w:cs="Times New Roman"/>
          <w:b/>
          <w:bCs/>
          <w:kern w:val="0"/>
          <w:sz w:val="27"/>
          <w:szCs w:val="27"/>
          <w14:ligatures w14:val="none"/>
        </w:rPr>
        <w:t>2. 界面与胶层要求</w:t>
      </w:r>
    </w:p>
    <w:p w14:paraId="44F6E408">
      <w:pPr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jc w:val="both"/>
        <w:textAlignment w:val="auto"/>
        <w:rPr>
          <w:rFonts w:ascii="Calibri" w:hAnsi="Calibri" w:eastAsia="宋体" w:cs="Times New Roman"/>
          <w:sz w:val="21"/>
          <w14:ligatures w14:val="none"/>
        </w:rPr>
      </w:pPr>
      <w:r>
        <w:rPr>
          <w:rFonts w:ascii="Calibri" w:hAnsi="Calibri" w:eastAsia="宋体" w:cs="Times New Roman"/>
          <w:sz w:val="21"/>
          <w14:ligatures w14:val="none"/>
        </w:rPr>
        <w:t xml:space="preserve">光学耦合界面应均匀、连续； </w:t>
      </w:r>
    </w:p>
    <w:p w14:paraId="4E96CFE3">
      <w:pPr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jc w:val="both"/>
        <w:textAlignment w:val="auto"/>
        <w:rPr>
          <w:rFonts w:ascii="Calibri" w:hAnsi="Calibri" w:eastAsia="宋体" w:cs="Times New Roman"/>
          <w:sz w:val="21"/>
          <w14:ligatures w14:val="none"/>
        </w:rPr>
      </w:pPr>
      <w:r>
        <w:rPr>
          <w:rFonts w:ascii="Calibri" w:hAnsi="Calibri" w:eastAsia="宋体" w:cs="Times New Roman"/>
          <w:sz w:val="21"/>
          <w14:ligatures w14:val="none"/>
        </w:rPr>
        <w:t xml:space="preserve">界面层总厚度不大于 </w:t>
      </w:r>
      <w:r>
        <w:rPr>
          <w:rFonts w:ascii="Calibri" w:hAnsi="Calibri" w:eastAsia="宋体" w:cs="Times New Roman"/>
          <w:b/>
          <w:sz w:val="21"/>
          <w14:ligatures w14:val="none"/>
        </w:rPr>
        <w:t>0.2 mm</w:t>
      </w:r>
      <w:r>
        <w:rPr>
          <w:rFonts w:ascii="Calibri" w:hAnsi="Calibri" w:eastAsia="宋体" w:cs="Times New Roman"/>
          <w:sz w:val="21"/>
          <w14:ligatures w14:val="none"/>
        </w:rPr>
        <w:t xml:space="preserve">； </w:t>
      </w:r>
    </w:p>
    <w:p w14:paraId="0AB20E29">
      <w:pPr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jc w:val="both"/>
        <w:textAlignment w:val="auto"/>
        <w:rPr>
          <w:rFonts w:ascii="Calibri" w:hAnsi="Calibri" w:eastAsia="宋体" w:cs="Times New Roman"/>
          <w:sz w:val="21"/>
          <w14:ligatures w14:val="none"/>
        </w:rPr>
      </w:pPr>
      <w:r>
        <w:rPr>
          <w:rFonts w:ascii="Calibri" w:hAnsi="Calibri" w:eastAsia="宋体" w:cs="Times New Roman"/>
          <w:sz w:val="21"/>
          <w14:ligatures w14:val="none"/>
        </w:rPr>
        <w:t xml:space="preserve">界面内不得存在影响使用的明显气泡、异物、尘埃、脱层、开胶； </w:t>
      </w:r>
    </w:p>
    <w:p w14:paraId="6BD5F470">
      <w:pPr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jc w:val="both"/>
        <w:textAlignment w:val="auto"/>
        <w:rPr>
          <w:rFonts w:ascii="Calibri" w:hAnsi="Calibri" w:eastAsia="宋体" w:cs="Times New Roman"/>
          <w:sz w:val="21"/>
          <w14:ligatures w14:val="none"/>
        </w:rPr>
      </w:pPr>
      <w:r>
        <w:rPr>
          <w:rFonts w:ascii="Calibri" w:hAnsi="Calibri" w:eastAsia="宋体" w:cs="Times New Roman"/>
          <w:sz w:val="21"/>
          <w14:ligatures w14:val="none"/>
        </w:rPr>
        <w:t xml:space="preserve">不得出现明显影响出光的白雾、条纹或局部悬空现象。 </w:t>
      </w:r>
    </w:p>
    <w:p w14:paraId="0A0F59B6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textAlignment w:val="auto"/>
        <w:outlineLvl w:val="2"/>
        <w:rPr>
          <w:rFonts w:hint="eastAsia" w:ascii="宋体" w:hAnsi="宋体" w:eastAsia="宋体" w:cs="Times New Roman"/>
          <w:b/>
          <w:bCs/>
          <w:kern w:val="0"/>
          <w:sz w:val="27"/>
          <w:szCs w:val="27"/>
          <w14:ligatures w14:val="none"/>
        </w:rPr>
      </w:pPr>
      <w:r>
        <w:rPr>
          <w:rFonts w:ascii="宋体" w:hAnsi="宋体" w:eastAsia="宋体" w:cs="Times New Roman"/>
          <w:b/>
          <w:bCs/>
          <w:kern w:val="0"/>
          <w:sz w:val="27"/>
          <w:szCs w:val="27"/>
          <w14:ligatures w14:val="none"/>
        </w:rPr>
        <w:t>3. 外观与平整性要求</w:t>
      </w:r>
    </w:p>
    <w:p w14:paraId="09F159B0">
      <w:pPr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jc w:val="both"/>
        <w:textAlignment w:val="auto"/>
        <w:rPr>
          <w:rFonts w:ascii="Calibri" w:hAnsi="Calibri" w:eastAsia="宋体" w:cs="Times New Roman"/>
          <w:sz w:val="21"/>
          <w14:ligatures w14:val="none"/>
        </w:rPr>
      </w:pPr>
      <w:r>
        <w:rPr>
          <w:rFonts w:ascii="Calibri" w:hAnsi="Calibri" w:eastAsia="宋体" w:cs="Times New Roman"/>
          <w:sz w:val="21"/>
          <w14:ligatures w14:val="none"/>
        </w:rPr>
        <w:t xml:space="preserve">肉眼观察应无明显颗粒污染、裂纹、崩边、黄变； </w:t>
      </w:r>
    </w:p>
    <w:p w14:paraId="0B0A5BC1">
      <w:pPr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jc w:val="both"/>
        <w:textAlignment w:val="auto"/>
        <w:rPr>
          <w:rFonts w:ascii="Calibri" w:hAnsi="Calibri" w:eastAsia="宋体" w:cs="Times New Roman"/>
          <w:sz w:val="21"/>
          <w14:ligatures w14:val="none"/>
        </w:rPr>
      </w:pPr>
      <w:r>
        <w:rPr>
          <w:rFonts w:ascii="Calibri" w:hAnsi="Calibri" w:eastAsia="宋体" w:cs="Times New Roman"/>
          <w:sz w:val="21"/>
          <w14:ligatures w14:val="none"/>
        </w:rPr>
        <w:t xml:space="preserve">边缘不得有明显溢料污染有效区域； </w:t>
      </w:r>
    </w:p>
    <w:p w14:paraId="276EB20A">
      <w:pPr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jc w:val="both"/>
        <w:textAlignment w:val="auto"/>
        <w:rPr>
          <w:rFonts w:ascii="Calibri" w:hAnsi="Calibri" w:eastAsia="宋体" w:cs="Times New Roman"/>
          <w:sz w:val="21"/>
          <w14:ligatures w14:val="none"/>
        </w:rPr>
      </w:pPr>
      <w:r>
        <w:rPr>
          <w:rFonts w:ascii="Calibri" w:hAnsi="Calibri" w:eastAsia="宋体" w:cs="Times New Roman"/>
          <w:sz w:val="21"/>
          <w14:ligatures w14:val="none"/>
        </w:rPr>
        <w:t xml:space="preserve">样件整体应保持较好平整性，不得出现明显鼓包或翘曲。 </w:t>
      </w:r>
    </w:p>
    <w:p w14:paraId="5CB0E294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textAlignment w:val="auto"/>
        <w:outlineLvl w:val="2"/>
        <w:rPr>
          <w:rFonts w:hint="eastAsia" w:ascii="宋体" w:hAnsi="宋体" w:eastAsia="宋体" w:cs="Times New Roman"/>
          <w:b/>
          <w:bCs/>
          <w:kern w:val="0"/>
          <w:sz w:val="27"/>
          <w:szCs w:val="27"/>
          <w14:ligatures w14:val="none"/>
        </w:rPr>
      </w:pPr>
      <w:r>
        <w:rPr>
          <w:rFonts w:ascii="宋体" w:hAnsi="宋体" w:eastAsia="宋体" w:cs="Times New Roman"/>
          <w:b/>
          <w:bCs/>
          <w:kern w:val="0"/>
          <w:sz w:val="27"/>
          <w:szCs w:val="27"/>
          <w14:ligatures w14:val="none"/>
        </w:rPr>
        <w:t>4. 粘接牢度要求</w:t>
      </w:r>
    </w:p>
    <w:p w14:paraId="08F12368">
      <w:pPr>
        <w:pageBreakBefore w:val="0"/>
        <w:widowControl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jc w:val="both"/>
        <w:textAlignment w:val="auto"/>
        <w:rPr>
          <w:rFonts w:ascii="Calibri" w:hAnsi="Calibri" w:eastAsia="宋体" w:cs="Times New Roman"/>
          <w:sz w:val="21"/>
          <w14:ligatures w14:val="none"/>
        </w:rPr>
      </w:pPr>
      <w:r>
        <w:rPr>
          <w:rFonts w:ascii="Calibri" w:hAnsi="Calibri" w:eastAsia="宋体" w:cs="Times New Roman"/>
          <w:sz w:val="21"/>
          <w14:ligatures w14:val="none"/>
        </w:rPr>
        <w:t>粘接后单片中子闪烁屏应满足</w:t>
      </w:r>
      <w:r>
        <w:rPr>
          <w:rFonts w:ascii="Calibri" w:hAnsi="Calibri" w:eastAsia="宋体" w:cs="Times New Roman"/>
          <w:b/>
          <w:sz w:val="21"/>
          <w14:ligatures w14:val="none"/>
        </w:rPr>
        <w:t>垂直挂重 300 g 不脱落</w:t>
      </w:r>
      <w:r>
        <w:rPr>
          <w:rFonts w:ascii="Calibri" w:hAnsi="Calibri" w:eastAsia="宋体" w:cs="Times New Roman"/>
          <w:sz w:val="21"/>
          <w14:ligatures w14:val="none"/>
        </w:rPr>
        <w:t xml:space="preserve">； </w:t>
      </w:r>
    </w:p>
    <w:p w14:paraId="25E805E1">
      <w:pPr>
        <w:pageBreakBefore w:val="0"/>
        <w:widowControl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jc w:val="both"/>
        <w:textAlignment w:val="auto"/>
        <w:rPr>
          <w:rFonts w:ascii="Calibri" w:hAnsi="Calibri" w:eastAsia="宋体" w:cs="Times New Roman"/>
          <w:sz w:val="21"/>
          <w14:ligatures w14:val="none"/>
        </w:rPr>
      </w:pPr>
      <w:r>
        <w:rPr>
          <w:rFonts w:ascii="Calibri" w:hAnsi="Calibri" w:eastAsia="宋体" w:cs="Times New Roman"/>
          <w:sz w:val="21"/>
          <w14:ligatures w14:val="none"/>
        </w:rPr>
        <w:t xml:space="preserve">粘接过程中不得因工艺应力过大造成闪烁屏不可接受破损。 </w:t>
      </w:r>
    </w:p>
    <w:p w14:paraId="51364BF3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textAlignment w:val="auto"/>
        <w:outlineLvl w:val="2"/>
        <w:rPr>
          <w:rFonts w:hint="eastAsia" w:ascii="宋体" w:hAnsi="宋体" w:eastAsia="宋体" w:cs="Times New Roman"/>
          <w:b/>
          <w:bCs/>
          <w:kern w:val="0"/>
          <w:sz w:val="27"/>
          <w:szCs w:val="27"/>
          <w14:ligatures w14:val="none"/>
        </w:rPr>
      </w:pPr>
      <w:r>
        <w:rPr>
          <w:rFonts w:ascii="宋体" w:hAnsi="宋体" w:eastAsia="宋体" w:cs="Times New Roman"/>
          <w:b/>
          <w:bCs/>
          <w:kern w:val="0"/>
          <w:sz w:val="27"/>
          <w:szCs w:val="27"/>
          <w14:ligatures w14:val="none"/>
        </w:rPr>
        <w:t>5. 环境可靠性要求</w:t>
      </w:r>
    </w:p>
    <w:p w14:paraId="2B0C807F">
      <w:pPr>
        <w:pageBreakBefore w:val="0"/>
        <w:widowControl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jc w:val="both"/>
        <w:textAlignment w:val="auto"/>
        <w:rPr>
          <w:rFonts w:ascii="Calibri" w:hAnsi="Calibri" w:eastAsia="宋体" w:cs="Times New Roman"/>
          <w:sz w:val="21"/>
          <w14:ligatures w14:val="none"/>
        </w:rPr>
      </w:pPr>
      <w:r>
        <w:rPr>
          <w:rFonts w:ascii="Calibri" w:hAnsi="Calibri" w:eastAsia="宋体" w:cs="Times New Roman"/>
          <w:sz w:val="21"/>
          <w14:ligatures w14:val="none"/>
        </w:rPr>
        <w:t xml:space="preserve">经高低温试验 </w:t>
      </w:r>
      <w:r>
        <w:rPr>
          <w:rFonts w:ascii="Calibri" w:hAnsi="Calibri" w:eastAsia="宋体" w:cs="Times New Roman"/>
          <w:b/>
          <w:sz w:val="21"/>
          <w14:ligatures w14:val="none"/>
        </w:rPr>
        <w:t xml:space="preserve">-20 </w:t>
      </w:r>
      <w:r>
        <w:rPr>
          <w:rFonts w:ascii="Cambria Math" w:hAnsi="Cambria Math" w:eastAsia="宋体" w:cs="Cambria Math"/>
          <w:b/>
          <w:sz w:val="21"/>
          <w14:ligatures w14:val="none"/>
        </w:rPr>
        <w:t>℃</w:t>
      </w:r>
      <w:r>
        <w:rPr>
          <w:rFonts w:ascii="Calibri" w:hAnsi="Calibri" w:eastAsia="宋体" w:cs="Times New Roman"/>
          <w:b/>
          <w:sz w:val="21"/>
          <w14:ligatures w14:val="none"/>
        </w:rPr>
        <w:t xml:space="preserve">～+80 </w:t>
      </w:r>
      <w:r>
        <w:rPr>
          <w:rFonts w:ascii="Cambria Math" w:hAnsi="Cambria Math" w:eastAsia="宋体" w:cs="Cambria Math"/>
          <w:b/>
          <w:sz w:val="21"/>
          <w14:ligatures w14:val="none"/>
        </w:rPr>
        <w:t>℃</w:t>
      </w:r>
      <w:r>
        <w:rPr>
          <w:rFonts w:ascii="Calibri" w:hAnsi="Calibri" w:eastAsia="宋体" w:cs="Times New Roman"/>
          <w:b/>
          <w:sz w:val="21"/>
          <w14:ligatures w14:val="none"/>
        </w:rPr>
        <w:t>，1000 h</w:t>
      </w:r>
      <w:r>
        <w:rPr>
          <w:rFonts w:ascii="Calibri" w:hAnsi="Calibri" w:eastAsia="宋体" w:cs="Times New Roman"/>
          <w:sz w:val="21"/>
          <w14:ligatures w14:val="none"/>
        </w:rPr>
        <w:t xml:space="preserve"> 后，样件不得出现明显气泡、开胶、黄变； </w:t>
      </w:r>
    </w:p>
    <w:p w14:paraId="19AA4C19">
      <w:pPr>
        <w:pageBreakBefore w:val="0"/>
        <w:widowControl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jc w:val="both"/>
        <w:textAlignment w:val="auto"/>
        <w:rPr>
          <w:rFonts w:ascii="Calibri" w:hAnsi="Calibri" w:eastAsia="宋体" w:cs="Times New Roman"/>
          <w:sz w:val="21"/>
          <w14:ligatures w14:val="none"/>
        </w:rPr>
      </w:pPr>
      <w:r>
        <w:rPr>
          <w:rFonts w:ascii="Calibri" w:hAnsi="Calibri" w:eastAsia="宋体" w:cs="Times New Roman"/>
          <w:sz w:val="21"/>
          <w14:ligatures w14:val="none"/>
        </w:rPr>
        <w:t xml:space="preserve">经双85试验 </w:t>
      </w:r>
      <w:r>
        <w:rPr>
          <w:rFonts w:ascii="Calibri" w:hAnsi="Calibri" w:eastAsia="宋体" w:cs="Times New Roman"/>
          <w:b/>
          <w:sz w:val="21"/>
          <w14:ligatures w14:val="none"/>
        </w:rPr>
        <w:t xml:space="preserve">85 </w:t>
      </w:r>
      <w:r>
        <w:rPr>
          <w:rFonts w:ascii="Cambria Math" w:hAnsi="Cambria Math" w:eastAsia="宋体" w:cs="Cambria Math"/>
          <w:b/>
          <w:sz w:val="21"/>
          <w14:ligatures w14:val="none"/>
        </w:rPr>
        <w:t>℃</w:t>
      </w:r>
      <w:r>
        <w:rPr>
          <w:rFonts w:ascii="Calibri" w:hAnsi="Calibri" w:eastAsia="宋体" w:cs="Times New Roman"/>
          <w:b/>
          <w:sz w:val="21"/>
          <w14:ligatures w14:val="none"/>
        </w:rPr>
        <w:t xml:space="preserve"> / 85%RH，1000 h</w:t>
      </w:r>
      <w:r>
        <w:rPr>
          <w:rFonts w:ascii="Calibri" w:hAnsi="Calibri" w:eastAsia="宋体" w:cs="Times New Roman"/>
          <w:sz w:val="21"/>
          <w14:ligatures w14:val="none"/>
        </w:rPr>
        <w:t xml:space="preserve"> 后，样件不得出现明显气泡、开胶、黄变； </w:t>
      </w:r>
    </w:p>
    <w:p w14:paraId="35362B42">
      <w:pPr>
        <w:pageBreakBefore w:val="0"/>
        <w:widowControl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jc w:val="both"/>
        <w:textAlignment w:val="auto"/>
        <w:rPr>
          <w:rFonts w:ascii="Calibri" w:hAnsi="Calibri" w:eastAsia="宋体" w:cs="Times New Roman"/>
          <w:sz w:val="21"/>
          <w14:ligatures w14:val="none"/>
        </w:rPr>
      </w:pPr>
      <w:r>
        <w:rPr>
          <w:rFonts w:ascii="Calibri" w:hAnsi="Calibri" w:eastAsia="宋体" w:cs="Times New Roman"/>
          <w:sz w:val="21"/>
          <w14:ligatures w14:val="none"/>
        </w:rPr>
        <w:t xml:space="preserve">表面应可耐受常规酒精擦洗，不出现明显失效。 </w:t>
      </w:r>
    </w:p>
    <w:p w14:paraId="7A264416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textAlignment w:val="auto"/>
        <w:outlineLvl w:val="2"/>
        <w:rPr>
          <w:rFonts w:hint="eastAsia" w:ascii="宋体" w:hAnsi="宋体" w:eastAsia="宋体" w:cs="Times New Roman"/>
          <w:b/>
          <w:bCs/>
          <w:kern w:val="0"/>
          <w:sz w:val="27"/>
          <w:szCs w:val="27"/>
          <w14:ligatures w14:val="none"/>
        </w:rPr>
      </w:pPr>
      <w:r>
        <w:rPr>
          <w:rFonts w:ascii="宋体" w:hAnsi="宋体" w:eastAsia="宋体" w:cs="Times New Roman"/>
          <w:b/>
          <w:bCs/>
          <w:kern w:val="0"/>
          <w:sz w:val="27"/>
          <w:szCs w:val="27"/>
          <w14:ligatures w14:val="none"/>
        </w:rPr>
        <w:t>6. 返修要求</w:t>
      </w:r>
    </w:p>
    <w:p w14:paraId="290EFA47">
      <w:pPr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jc w:val="both"/>
        <w:textAlignment w:val="auto"/>
        <w:rPr>
          <w:rFonts w:ascii="Calibri" w:hAnsi="Calibri" w:eastAsia="宋体" w:cs="Times New Roman"/>
          <w:sz w:val="21"/>
          <w14:ligatures w14:val="none"/>
        </w:rPr>
      </w:pPr>
      <w:r>
        <w:rPr>
          <w:rFonts w:ascii="Calibri" w:hAnsi="Calibri" w:eastAsia="宋体" w:cs="Times New Roman"/>
          <w:sz w:val="21"/>
          <w14:ligatures w14:val="none"/>
        </w:rPr>
        <w:t xml:space="preserve">乙方应提供返修方案； </w:t>
      </w:r>
    </w:p>
    <w:p w14:paraId="3EA43A0E">
      <w:pPr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jc w:val="both"/>
        <w:textAlignment w:val="auto"/>
        <w:rPr>
          <w:rFonts w:ascii="Calibri" w:hAnsi="Calibri" w:eastAsia="宋体" w:cs="Times New Roman"/>
          <w:sz w:val="21"/>
          <w14:ligatures w14:val="none"/>
        </w:rPr>
      </w:pPr>
      <w:r>
        <w:rPr>
          <w:rFonts w:ascii="Calibri" w:hAnsi="Calibri" w:eastAsia="宋体" w:cs="Times New Roman"/>
          <w:sz w:val="21"/>
          <w14:ligatures w14:val="none"/>
        </w:rPr>
        <w:t xml:space="preserve">返修过程中应尽量避免中子闪烁屏破损； </w:t>
      </w:r>
    </w:p>
    <w:p w14:paraId="3D53F0C5">
      <w:pPr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jc w:val="both"/>
        <w:textAlignment w:val="auto"/>
        <w:rPr>
          <w:rFonts w:ascii="Calibri" w:hAnsi="Calibri" w:eastAsia="宋体" w:cs="Times New Roman"/>
          <w:sz w:val="21"/>
          <w14:ligatures w14:val="none"/>
        </w:rPr>
      </w:pPr>
      <w:r>
        <w:rPr>
          <w:rFonts w:ascii="Calibri" w:hAnsi="Calibri" w:eastAsia="宋体" w:cs="Times New Roman"/>
          <w:sz w:val="21"/>
          <w14:ligatures w14:val="none"/>
        </w:rPr>
        <w:t xml:space="preserve">返修后应具备重新贴合条件。 </w:t>
      </w:r>
    </w:p>
    <w:p w14:paraId="463870CF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textAlignment w:val="auto"/>
        <w:rPr>
          <w:rFonts w:hint="eastAsia"/>
        </w:rPr>
      </w:pPr>
    </w:p>
    <w:p w14:paraId="056495EE">
      <w:pPr>
        <w:pStyle w:val="2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eastAsia"/>
          <w:color w:val="auto"/>
          <w:sz w:val="44"/>
          <w:szCs w:val="44"/>
        </w:rPr>
      </w:pPr>
      <w:r>
        <w:rPr>
          <w:rFonts w:hint="eastAsia"/>
          <w:color w:val="auto"/>
          <w:sz w:val="44"/>
          <w:szCs w:val="44"/>
        </w:rPr>
        <w:t>验收方式及验收标准</w:t>
      </w:r>
    </w:p>
    <w:p w14:paraId="476ACC87">
      <w:pPr>
        <w:pageBreakBefore w:val="0"/>
        <w:widowControl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jc w:val="both"/>
        <w:textAlignment w:val="auto"/>
        <w:rPr>
          <w:rFonts w:hint="eastAsia" w:ascii="宋体" w:hAnsi="宋体" w:eastAsia="宋体"/>
          <w:sz w:val="21"/>
          <w:szCs w:val="21"/>
        </w:rPr>
      </w:pPr>
      <w:r>
        <w:rPr>
          <w:rFonts w:ascii="宋体" w:hAnsi="宋体" w:eastAsia="宋体"/>
          <w:sz w:val="21"/>
          <w:szCs w:val="21"/>
        </w:rPr>
        <w:t xml:space="preserve">甲方依据本合同约定的技术指标和交付内容进行验收； </w:t>
      </w:r>
    </w:p>
    <w:p w14:paraId="673530E1">
      <w:pPr>
        <w:pageBreakBefore w:val="0"/>
        <w:widowControl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jc w:val="both"/>
        <w:textAlignment w:val="auto"/>
        <w:rPr>
          <w:rFonts w:hint="eastAsia" w:ascii="宋体" w:hAnsi="宋体" w:eastAsia="宋体"/>
          <w:sz w:val="21"/>
          <w:szCs w:val="21"/>
        </w:rPr>
      </w:pPr>
      <w:r>
        <w:rPr>
          <w:rFonts w:ascii="宋体" w:hAnsi="宋体" w:eastAsia="宋体"/>
          <w:sz w:val="21"/>
          <w:szCs w:val="21"/>
        </w:rPr>
        <w:t xml:space="preserve">验收分为资料验收和样件验收两部分： </w:t>
      </w:r>
    </w:p>
    <w:p w14:paraId="7EA11FC5">
      <w:pPr>
        <w:pageBreakBefore w:val="0"/>
        <w:widowControl/>
        <w:numPr>
          <w:ilvl w:val="1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jc w:val="both"/>
        <w:textAlignment w:val="auto"/>
        <w:rPr>
          <w:rFonts w:hint="eastAsia" w:ascii="宋体" w:hAnsi="宋体" w:eastAsia="宋体"/>
          <w:sz w:val="21"/>
          <w:szCs w:val="21"/>
        </w:rPr>
      </w:pPr>
      <w:r>
        <w:rPr>
          <w:rFonts w:ascii="宋体" w:hAnsi="宋体" w:eastAsia="宋体"/>
          <w:sz w:val="21"/>
          <w:szCs w:val="21"/>
        </w:rPr>
        <w:t xml:space="preserve">资料验收：工艺说明、检测记录、样件清单； </w:t>
      </w:r>
    </w:p>
    <w:p w14:paraId="064CC853">
      <w:pPr>
        <w:pageBreakBefore w:val="0"/>
        <w:widowControl/>
        <w:numPr>
          <w:ilvl w:val="1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jc w:val="both"/>
        <w:textAlignment w:val="auto"/>
        <w:rPr>
          <w:rFonts w:hint="eastAsia" w:ascii="宋体" w:hAnsi="宋体" w:eastAsia="宋体"/>
          <w:sz w:val="21"/>
          <w:szCs w:val="21"/>
        </w:rPr>
      </w:pPr>
      <w:r>
        <w:rPr>
          <w:rFonts w:ascii="宋体" w:hAnsi="宋体" w:eastAsia="宋体"/>
          <w:sz w:val="21"/>
          <w:szCs w:val="21"/>
        </w:rPr>
        <w:t xml:space="preserve">样件验收：外观、对位精度、粘接牢度； </w:t>
      </w:r>
    </w:p>
    <w:p w14:paraId="4AADC017">
      <w:pPr>
        <w:pageBreakBefore w:val="0"/>
        <w:widowControl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jc w:val="both"/>
        <w:textAlignment w:val="auto"/>
        <w:rPr>
          <w:rFonts w:hint="eastAsia" w:ascii="宋体" w:hAnsi="宋体" w:eastAsia="宋体"/>
          <w:sz w:val="21"/>
          <w:szCs w:val="21"/>
        </w:rPr>
      </w:pPr>
      <w:r>
        <w:rPr>
          <w:rFonts w:ascii="宋体" w:hAnsi="宋体" w:eastAsia="宋体"/>
          <w:sz w:val="21"/>
          <w:szCs w:val="21"/>
        </w:rPr>
        <w:t xml:space="preserve">若交付成果存在不符合项，甲方有权要求乙方限期整改； </w:t>
      </w:r>
    </w:p>
    <w:p w14:paraId="06AF0515">
      <w:pPr>
        <w:pageBreakBefore w:val="0"/>
        <w:widowControl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jc w:val="both"/>
        <w:textAlignment w:val="auto"/>
        <w:rPr>
          <w:rFonts w:hint="eastAsia" w:ascii="宋体" w:hAnsi="宋体" w:eastAsia="宋体"/>
          <w:sz w:val="21"/>
          <w:szCs w:val="21"/>
        </w:rPr>
      </w:pPr>
      <w:r>
        <w:rPr>
          <w:rFonts w:ascii="宋体" w:hAnsi="宋体" w:eastAsia="宋体"/>
          <w:sz w:val="21"/>
          <w:szCs w:val="21"/>
        </w:rPr>
        <w:t xml:space="preserve">整改后仍不满足合同要求的，甲方有权拒收，并按合同约定追究乙方责任； </w:t>
      </w:r>
    </w:p>
    <w:p w14:paraId="03629820">
      <w:pPr>
        <w:pageBreakBefore w:val="0"/>
        <w:widowControl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jc w:val="both"/>
        <w:textAlignment w:val="auto"/>
        <w:rPr>
          <w:rFonts w:hint="eastAsia"/>
        </w:rPr>
      </w:pPr>
      <w:r>
        <w:rPr>
          <w:rFonts w:ascii="宋体" w:hAnsi="宋体" w:eastAsia="宋体"/>
          <w:sz w:val="21"/>
          <w:szCs w:val="21"/>
        </w:rPr>
        <w:t>验收标准包括但不限于：位置偏差 ≤0.</w:t>
      </w:r>
      <w:r>
        <w:rPr>
          <w:rFonts w:hint="eastAsia" w:ascii="宋体" w:hAnsi="宋体" w:eastAsia="宋体"/>
          <w:sz w:val="21"/>
          <w:szCs w:val="21"/>
          <w:lang w:val="en-US" w:eastAsia="zh-CN"/>
        </w:rPr>
        <w:t>3</w:t>
      </w:r>
      <w:r>
        <w:rPr>
          <w:rFonts w:ascii="宋体" w:hAnsi="宋体" w:eastAsia="宋体"/>
          <w:sz w:val="21"/>
          <w:szCs w:val="21"/>
        </w:rPr>
        <w:t xml:space="preserve"> mm、界面层厚度 ≤0.2 mm、</w:t>
      </w:r>
      <w:r>
        <w:rPr>
          <w:rFonts w:hint="eastAsia" w:ascii="宋体" w:hAnsi="宋体" w:eastAsia="宋体"/>
          <w:sz w:val="21"/>
          <w:szCs w:val="21"/>
          <w:lang w:val="en-US" w:eastAsia="zh-CN"/>
        </w:rPr>
        <w:t>粘接界面</w:t>
      </w:r>
      <w:r>
        <w:rPr>
          <w:rFonts w:ascii="宋体" w:hAnsi="宋体" w:eastAsia="宋体"/>
          <w:sz w:val="21"/>
          <w:szCs w:val="21"/>
        </w:rPr>
        <w:t>无明显气泡/开胶/黄变。</w:t>
      </w:r>
      <w:r>
        <w:t xml:space="preserve"> </w:t>
      </w:r>
    </w:p>
    <w:p w14:paraId="3F855EBF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textAlignment w:val="auto"/>
        <w:rPr>
          <w:rFonts w:hint="eastAsia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23A952"/>
    <w:multiLevelType w:val="multilevel"/>
    <w:tmpl w:val="8023A952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81E7A4BB"/>
    <w:multiLevelType w:val="multilevel"/>
    <w:tmpl w:val="81E7A4BB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>
    <w:nsid w:val="D9E1AE5A"/>
    <w:multiLevelType w:val="multilevel"/>
    <w:tmpl w:val="D9E1AE5A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3">
    <w:nsid w:val="E365CCEE"/>
    <w:multiLevelType w:val="multilevel"/>
    <w:tmpl w:val="E365CCE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4">
    <w:nsid w:val="EFC35CF0"/>
    <w:multiLevelType w:val="multilevel"/>
    <w:tmpl w:val="EFC35CF0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5">
    <w:nsid w:val="F326AADF"/>
    <w:multiLevelType w:val="multilevel"/>
    <w:tmpl w:val="F326AADF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6">
    <w:nsid w:val="0BBA9414"/>
    <w:multiLevelType w:val="multilevel"/>
    <w:tmpl w:val="0BBA941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7">
    <w:nsid w:val="4D2C17DA"/>
    <w:multiLevelType w:val="multilevel"/>
    <w:tmpl w:val="4D2C17DA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8">
    <w:nsid w:val="55416726"/>
    <w:multiLevelType w:val="multilevel"/>
    <w:tmpl w:val="55416726"/>
    <w:lvl w:ilvl="0" w:tentative="0">
      <w:start w:val="1"/>
      <w:numFmt w:val="japaneseCounting"/>
      <w:lvlText w:val="第%1条"/>
      <w:lvlJc w:val="left"/>
      <w:pPr>
        <w:ind w:left="1400" w:hanging="140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0"/>
  </w:num>
  <w:num w:numId="5">
    <w:abstractNumId w:val="4"/>
  </w:num>
  <w:num w:numId="6">
    <w:abstractNumId w:val="6"/>
  </w:num>
  <w:num w:numId="7">
    <w:abstractNumId w:val="3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035"/>
    <w:rsid w:val="001C3DC2"/>
    <w:rsid w:val="001E3269"/>
    <w:rsid w:val="00491FEA"/>
    <w:rsid w:val="004B4FFF"/>
    <w:rsid w:val="00641CE7"/>
    <w:rsid w:val="006920AB"/>
    <w:rsid w:val="006A0CB3"/>
    <w:rsid w:val="00723035"/>
    <w:rsid w:val="00821457"/>
    <w:rsid w:val="00896BDF"/>
    <w:rsid w:val="0099101E"/>
    <w:rsid w:val="00C14E95"/>
    <w:rsid w:val="00C82664"/>
    <w:rsid w:val="00F76A5D"/>
    <w:rsid w:val="357C6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0"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8"/>
    <w:unhideWhenUsed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7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9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Normal (Web)"/>
    <w:basedOn w:val="1"/>
    <w:uiPriority w:val="0"/>
    <w:pPr>
      <w:spacing w:beforeAutospacing="1" w:after="0" w:afterAutospacing="1" w:line="240" w:lineRule="auto"/>
    </w:pPr>
    <w:rPr>
      <w:rFonts w:cs="Times New Roman"/>
      <w:kern w:val="0"/>
      <w:sz w:val="24"/>
      <w14:ligatures w14:val="none"/>
    </w:rPr>
  </w:style>
  <w:style w:type="paragraph" w:styleId="15">
    <w:name w:val="Title"/>
    <w:basedOn w:val="1"/>
    <w:next w:val="1"/>
    <w:link w:val="28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8">
    <w:name w:val="Strong"/>
    <w:basedOn w:val="17"/>
    <w:qFormat/>
    <w:uiPriority w:val="0"/>
    <w:rPr>
      <w:b/>
    </w:rPr>
  </w:style>
  <w:style w:type="character" w:customStyle="1" w:styleId="19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0">
    <w:name w:val="标题 2 字符"/>
    <w:basedOn w:val="17"/>
    <w:link w:val="3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1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2">
    <w:name w:val="标题 4 字符"/>
    <w:basedOn w:val="17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3">
    <w:name w:val="标题 5 字符"/>
    <w:basedOn w:val="17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4">
    <w:name w:val="标题 6 字符"/>
    <w:basedOn w:val="17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5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7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7"/>
    <w:link w:val="15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7"/>
    <w:link w:val="13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引用 字符"/>
    <w:basedOn w:val="17"/>
    <w:link w:val="30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Intense Emphasis"/>
    <w:basedOn w:val="17"/>
    <w:qFormat/>
    <w:uiPriority w:val="21"/>
    <w:rPr>
      <w:i/>
      <w:iCs/>
      <w:color w:val="104862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5">
    <w:name w:val="明显引用 字符"/>
    <w:basedOn w:val="17"/>
    <w:link w:val="34"/>
    <w:uiPriority w:val="30"/>
    <w:rPr>
      <w:i/>
      <w:iCs/>
      <w:color w:val="104862" w:themeColor="accent1" w:themeShade="BF"/>
    </w:rPr>
  </w:style>
  <w:style w:type="character" w:customStyle="1" w:styleId="36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7">
    <w:name w:val="页眉 字符"/>
    <w:basedOn w:val="17"/>
    <w:link w:val="12"/>
    <w:uiPriority w:val="99"/>
    <w:rPr>
      <w:sz w:val="18"/>
      <w:szCs w:val="18"/>
    </w:rPr>
  </w:style>
  <w:style w:type="character" w:customStyle="1" w:styleId="38">
    <w:name w:val="页脚 字符"/>
    <w:basedOn w:val="17"/>
    <w:link w:val="11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684</Words>
  <Characters>725</Characters>
  <Lines>21</Lines>
  <Paragraphs>37</Paragraphs>
  <TotalTime>22</TotalTime>
  <ScaleCrop>false</ScaleCrop>
  <LinksUpToDate>false</LinksUpToDate>
  <CharactersWithSpaces>784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2026-04-27T02:00:00Z</dcterms:created>
  <dc:creator>445379853@qq.com</dc:creator>
  <cp:lastModifiedBy>tangb</cp:lastModifiedBy>
  <dcterms:modified xsi:type="dcterms:W3CDTF">2026-09-24T03:16:49Z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eyJoZGlkIjoiNmE5NTgxMDliMzU5ZTg3YTI4YTZkYmY4MDk3ZTRlODciLCJ1c2VySWQiOiIxMDA0MTQxNDI1In0=</vt:lpwstr>
  </property>
  <property fmtid="{D5CDD505-2E9C-101B-9397-08002B2CF9AE}" pid="3" name="KSOProductBuildVer">
    <vt:lpwstr>2052-12.1.0.28505</vt:lpwstr>
  </property>
  <property fmtid="{D5CDD505-2E9C-101B-9397-08002B2CF9AE}" pid="4" name="ICV">
    <vt:lpwstr>AC1D48A6B59F48E6867AD87A992E0496_12</vt:lpwstr>
  </property>
</Properties>
</file>