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eastAsia="方正小标宋简体"/>
          <w:b/>
          <w:sz w:val="40"/>
          <w:szCs w:val="28"/>
        </w:rPr>
      </w:pPr>
      <w:r>
        <w:rPr>
          <w:rFonts w:hint="eastAsia" w:eastAsia="方正小标宋简体"/>
          <w:b/>
          <w:sz w:val="40"/>
          <w:szCs w:val="28"/>
          <w:lang w:val="en-US" w:eastAsia="zh-CN"/>
        </w:rPr>
        <w:t>SiPM芯片</w:t>
      </w:r>
      <w:r>
        <w:rPr>
          <w:rFonts w:hint="eastAsia" w:eastAsia="方正小标宋简体"/>
          <w:b/>
          <w:sz w:val="40"/>
          <w:szCs w:val="28"/>
        </w:rPr>
        <w:t>采购文件</w:t>
      </w:r>
    </w:p>
    <w:p>
      <w:pPr>
        <w:rPr>
          <w:b/>
          <w:sz w:val="24"/>
        </w:rPr>
      </w:pPr>
    </w:p>
    <w:p>
      <w:pPr>
        <w:rPr>
          <w:rFonts w:ascii="黑体" w:hAnsi="黑体" w:eastAsia="黑体" w:cs="黑体"/>
          <w:b/>
          <w:sz w:val="32"/>
          <w:szCs w:val="32"/>
        </w:rPr>
      </w:pPr>
      <w:r>
        <w:rPr>
          <w:rFonts w:hint="eastAsia" w:ascii="黑体" w:hAnsi="黑体" w:eastAsia="黑体" w:cs="黑体"/>
          <w:b/>
          <w:sz w:val="32"/>
          <w:szCs w:val="32"/>
        </w:rPr>
        <w:t>一、采购信息</w:t>
      </w:r>
    </w:p>
    <w:p>
      <w:pPr>
        <w:rPr>
          <w:rFonts w:eastAsia="仿宋_GB2312"/>
          <w:b/>
          <w:sz w:val="32"/>
          <w:szCs w:val="32"/>
        </w:rPr>
      </w:pPr>
      <w:r>
        <w:rPr>
          <w:rFonts w:hint="eastAsia" w:eastAsia="仿宋_GB2312"/>
          <w:b/>
          <w:sz w:val="32"/>
          <w:szCs w:val="32"/>
        </w:rPr>
        <w:t>采购人：</w:t>
      </w:r>
      <w:r>
        <w:rPr>
          <w:rFonts w:hint="eastAsia" w:eastAsia="仿宋_GB2312"/>
          <w:bCs/>
          <w:sz w:val="32"/>
          <w:szCs w:val="32"/>
        </w:rPr>
        <w:t>济南中科核技术研究院</w:t>
      </w:r>
    </w:p>
    <w:p>
      <w:pPr>
        <w:rPr>
          <w:rFonts w:hint="default" w:eastAsia="仿宋_GB2312"/>
          <w:bCs/>
          <w:sz w:val="32"/>
          <w:szCs w:val="32"/>
          <w:lang w:val="en-US" w:eastAsia="zh-CN"/>
        </w:rPr>
      </w:pPr>
      <w:r>
        <w:rPr>
          <w:rFonts w:hint="eastAsia" w:eastAsia="仿宋_GB2312"/>
          <w:b/>
          <w:sz w:val="32"/>
          <w:szCs w:val="32"/>
        </w:rPr>
        <w:t>采购项目：</w:t>
      </w:r>
      <w:r>
        <w:rPr>
          <w:rFonts w:hint="eastAsia" w:eastAsia="仿宋_GB2312"/>
          <w:b/>
          <w:sz w:val="32"/>
          <w:szCs w:val="32"/>
          <w:lang w:val="en-US" w:eastAsia="zh-CN"/>
        </w:rPr>
        <w:t>SiPM芯片</w:t>
      </w:r>
    </w:p>
    <w:p>
      <w:pPr>
        <w:rPr>
          <w:rFonts w:eastAsia="仿宋_GB2312"/>
          <w:bCs/>
          <w:sz w:val="32"/>
          <w:szCs w:val="32"/>
        </w:rPr>
      </w:pPr>
      <w:r>
        <w:rPr>
          <w:rFonts w:hint="eastAsia" w:eastAsia="仿宋_GB2312"/>
          <w:b/>
          <w:sz w:val="32"/>
          <w:szCs w:val="32"/>
        </w:rPr>
        <w:t>采购数量：</w:t>
      </w:r>
      <w:r>
        <w:rPr>
          <w:rFonts w:hint="eastAsia" w:eastAsia="仿宋_GB2312"/>
          <w:b/>
          <w:sz w:val="32"/>
          <w:szCs w:val="32"/>
          <w:lang w:val="en-US" w:eastAsia="zh-CN"/>
        </w:rPr>
        <w:t>1000</w:t>
      </w:r>
      <w:r>
        <w:rPr>
          <w:rFonts w:hint="eastAsia" w:eastAsia="仿宋_GB2312"/>
          <w:bCs/>
          <w:sz w:val="32"/>
          <w:szCs w:val="32"/>
        </w:rPr>
        <w:t>个</w:t>
      </w:r>
    </w:p>
    <w:p>
      <w:pPr>
        <w:pStyle w:val="3"/>
        <w:spacing w:line="360" w:lineRule="auto"/>
        <w:rPr>
          <w:rFonts w:hint="eastAsia" w:eastAsia="仿宋_GB2312"/>
          <w:sz w:val="32"/>
          <w:szCs w:val="32"/>
          <w:lang w:eastAsia="zh-CN"/>
        </w:rPr>
      </w:pPr>
      <w:r>
        <w:rPr>
          <w:rFonts w:hint="eastAsia" w:eastAsia="仿宋_GB2312"/>
          <w:b/>
          <w:bCs/>
          <w:sz w:val="32"/>
          <w:szCs w:val="32"/>
        </w:rPr>
        <w:t>采购用途：</w:t>
      </w:r>
      <w:r>
        <w:rPr>
          <w:rFonts w:hint="eastAsia" w:eastAsia="仿宋_GB2312"/>
          <w:sz w:val="32"/>
          <w:szCs w:val="32"/>
        </w:rPr>
        <w:t>用于γ射线闪烁体探测器（BGO+SiPM）研制，作为闪烁光子读出与光电转换器件</w:t>
      </w:r>
      <w:r>
        <w:rPr>
          <w:rFonts w:hint="eastAsia" w:eastAsia="仿宋_GB2312"/>
          <w:sz w:val="32"/>
          <w:szCs w:val="32"/>
          <w:lang w:eastAsia="zh-CN"/>
        </w:rPr>
        <w:t>。</w:t>
      </w:r>
    </w:p>
    <w:p>
      <w:pPr>
        <w:rPr>
          <w:rFonts w:eastAsia="仿宋_GB2312"/>
          <w:bCs/>
          <w:sz w:val="32"/>
          <w:szCs w:val="32"/>
        </w:rPr>
      </w:pPr>
      <w:r>
        <w:rPr>
          <w:rFonts w:hint="eastAsia" w:eastAsia="仿宋_GB2312"/>
          <w:b/>
          <w:sz w:val="32"/>
          <w:szCs w:val="32"/>
        </w:rPr>
        <w:t>技术要求：</w:t>
      </w:r>
      <w:r>
        <w:rPr>
          <w:rFonts w:hint="eastAsia" w:eastAsia="仿宋_GB2312"/>
          <w:bCs/>
          <w:sz w:val="32"/>
          <w:szCs w:val="32"/>
        </w:rPr>
        <w:t>详见附件</w:t>
      </w:r>
      <w:r>
        <w:rPr>
          <w:rFonts w:hint="eastAsia" w:eastAsia="仿宋_GB2312"/>
          <w:bCs/>
          <w:sz w:val="32"/>
          <w:szCs w:val="32"/>
          <w:lang w:val="en-US" w:eastAsia="zh-CN"/>
        </w:rPr>
        <w:t>2</w:t>
      </w:r>
      <w:r>
        <w:rPr>
          <w:rFonts w:hint="eastAsia" w:eastAsia="仿宋_GB2312"/>
          <w:bCs/>
          <w:sz w:val="32"/>
          <w:szCs w:val="32"/>
        </w:rPr>
        <w:t xml:space="preserve"> 《主要技术参数响应表》</w:t>
      </w:r>
    </w:p>
    <w:p>
      <w:pPr>
        <w:rPr>
          <w:rFonts w:eastAsia="仿宋_GB2312"/>
          <w:bCs/>
          <w:sz w:val="32"/>
          <w:szCs w:val="32"/>
        </w:rPr>
      </w:pPr>
      <w:r>
        <w:rPr>
          <w:rFonts w:hint="eastAsia" w:eastAsia="仿宋_GB2312"/>
          <w:b/>
          <w:sz w:val="32"/>
          <w:szCs w:val="32"/>
        </w:rPr>
        <w:t>交货地点：</w:t>
      </w:r>
      <w:r>
        <w:rPr>
          <w:rFonts w:hint="eastAsia" w:eastAsia="仿宋_GB2312"/>
          <w:bCs/>
          <w:sz w:val="32"/>
          <w:szCs w:val="32"/>
        </w:rPr>
        <w:t>济南中科核技术研究院</w:t>
      </w:r>
    </w:p>
    <w:p>
      <w:pPr>
        <w:rPr>
          <w:rFonts w:eastAsia="仿宋_GB2312"/>
          <w:bCs/>
          <w:sz w:val="32"/>
          <w:szCs w:val="32"/>
        </w:rPr>
      </w:pPr>
      <w:r>
        <w:rPr>
          <w:rFonts w:hint="eastAsia" w:eastAsia="仿宋_GB2312"/>
          <w:b/>
          <w:sz w:val="32"/>
          <w:szCs w:val="32"/>
        </w:rPr>
        <w:t>交货时间：</w:t>
      </w:r>
      <w:r>
        <w:rPr>
          <w:rFonts w:hint="eastAsia" w:eastAsia="仿宋_GB2312"/>
          <w:bCs/>
          <w:sz w:val="32"/>
          <w:szCs w:val="32"/>
        </w:rPr>
        <w:t>合同签订后</w:t>
      </w:r>
      <w:r>
        <w:rPr>
          <w:rFonts w:hint="eastAsia" w:eastAsia="仿宋_GB2312"/>
          <w:bCs/>
          <w:sz w:val="32"/>
          <w:szCs w:val="32"/>
          <w:lang w:val="en-US" w:eastAsia="zh-CN"/>
        </w:rPr>
        <w:t>30</w:t>
      </w:r>
      <w:r>
        <w:rPr>
          <w:rFonts w:hint="eastAsia" w:eastAsia="仿宋_GB2312"/>
          <w:bCs/>
          <w:sz w:val="32"/>
          <w:szCs w:val="32"/>
        </w:rPr>
        <w:t>个自然日内。</w:t>
      </w:r>
    </w:p>
    <w:p>
      <w:pPr>
        <w:rPr>
          <w:rFonts w:eastAsia="仿宋_GB2312"/>
          <w:bCs/>
          <w:sz w:val="32"/>
          <w:szCs w:val="32"/>
        </w:rPr>
      </w:pPr>
      <w:r>
        <w:rPr>
          <w:rFonts w:hint="eastAsia" w:eastAsia="仿宋_GB2312"/>
          <w:b/>
          <w:sz w:val="32"/>
          <w:szCs w:val="32"/>
        </w:rPr>
        <w:t>质保期：</w:t>
      </w:r>
      <w:r>
        <w:rPr>
          <w:rFonts w:hint="eastAsia" w:eastAsia="仿宋_GB2312"/>
          <w:bCs/>
          <w:sz w:val="32"/>
          <w:szCs w:val="32"/>
        </w:rPr>
        <w:t>从验收之日起12个月。</w:t>
      </w:r>
    </w:p>
    <w:p>
      <w:pPr>
        <w:rPr>
          <w:rFonts w:ascii="黑体" w:hAnsi="黑体" w:eastAsia="黑体" w:cs="黑体"/>
          <w:b/>
          <w:sz w:val="32"/>
          <w:szCs w:val="32"/>
        </w:rPr>
      </w:pPr>
      <w:r>
        <w:rPr>
          <w:rFonts w:hint="eastAsia" w:ascii="黑体" w:hAnsi="黑体" w:eastAsia="黑体" w:cs="黑体"/>
          <w:b/>
          <w:sz w:val="32"/>
          <w:szCs w:val="32"/>
        </w:rPr>
        <w:t>二、报价要求</w:t>
      </w:r>
    </w:p>
    <w:p>
      <w:pPr>
        <w:rPr>
          <w:rFonts w:eastAsia="仿宋_GB2312"/>
          <w:bCs/>
          <w:sz w:val="32"/>
          <w:szCs w:val="32"/>
        </w:rPr>
      </w:pPr>
      <w:r>
        <w:rPr>
          <w:rFonts w:hint="eastAsia" w:eastAsia="仿宋_GB2312"/>
          <w:b/>
          <w:sz w:val="32"/>
          <w:szCs w:val="32"/>
        </w:rPr>
        <w:t>报价文件内容：</w:t>
      </w:r>
      <w:r>
        <w:rPr>
          <w:rFonts w:hint="eastAsia" w:eastAsia="仿宋_GB2312"/>
          <w:bCs/>
          <w:sz w:val="32"/>
          <w:szCs w:val="32"/>
        </w:rPr>
        <w:t>详见采购公告文件，公告编号</w:t>
      </w:r>
    </w:p>
    <w:p>
      <w:pPr>
        <w:rPr>
          <w:rFonts w:eastAsia="仿宋_GB2312"/>
          <w:bCs/>
          <w:sz w:val="32"/>
          <w:szCs w:val="32"/>
        </w:rPr>
      </w:pPr>
      <w:r>
        <w:rPr>
          <w:rFonts w:hint="eastAsia" w:eastAsia="仿宋_GB2312"/>
          <w:b/>
          <w:sz w:val="32"/>
          <w:szCs w:val="32"/>
        </w:rPr>
        <w:t>报价文件递交方式：</w:t>
      </w:r>
      <w:r>
        <w:rPr>
          <w:rFonts w:hint="eastAsia" w:eastAsia="仿宋_GB2312"/>
          <w:b w:val="0"/>
          <w:bCs/>
          <w:sz w:val="32"/>
          <w:szCs w:val="32"/>
          <w:lang w:val="en-US" w:eastAsia="zh-CN"/>
        </w:rPr>
        <w:t>连同报价单一同上传至电子竞价平台。</w:t>
      </w:r>
    </w:p>
    <w:p>
      <w:pPr>
        <w:rPr>
          <w:b/>
          <w:sz w:val="24"/>
        </w:rPr>
      </w:pPr>
      <w:r>
        <w:rPr>
          <w:b/>
          <w:sz w:val="24"/>
        </w:rPr>
        <w:br w:type="page"/>
      </w:r>
    </w:p>
    <w:p>
      <w:pPr>
        <w:rPr>
          <w:rFonts w:hint="eastAsia" w:eastAsia="宋体"/>
          <w:bCs/>
          <w:sz w:val="32"/>
          <w:szCs w:val="32"/>
          <w:lang w:val="en-US" w:eastAsia="zh-CN"/>
        </w:rPr>
      </w:pPr>
      <w:r>
        <w:rPr>
          <w:rFonts w:hint="eastAsia"/>
          <w:bCs/>
          <w:sz w:val="32"/>
          <w:szCs w:val="32"/>
        </w:rPr>
        <w:t>附件</w:t>
      </w:r>
      <w:r>
        <w:rPr>
          <w:rFonts w:hint="eastAsia"/>
          <w:bCs/>
          <w:sz w:val="32"/>
          <w:szCs w:val="32"/>
          <w:lang w:val="en-US" w:eastAsia="zh-CN"/>
        </w:rPr>
        <w:t>1</w:t>
      </w:r>
    </w:p>
    <w:p>
      <w:pPr>
        <w:jc w:val="center"/>
        <w:rPr>
          <w:rFonts w:ascii="方正小标宋简体" w:hAnsi="方正小标宋简体" w:eastAsia="方正小标宋简体" w:cs="方正小标宋简体"/>
          <w:b/>
          <w:sz w:val="36"/>
          <w:szCs w:val="36"/>
        </w:rPr>
      </w:pPr>
      <w:r>
        <w:rPr>
          <w:rFonts w:hint="eastAsia" w:ascii="方正小标宋简体" w:hAnsi="方正小标宋简体" w:eastAsia="方正小标宋简体" w:cs="方正小标宋简体"/>
          <w:b/>
          <w:sz w:val="36"/>
          <w:szCs w:val="36"/>
        </w:rPr>
        <w:t>综合评分表</w:t>
      </w:r>
    </w:p>
    <w:p>
      <w:pPr>
        <w:spacing w:line="360" w:lineRule="auto"/>
        <w:rPr>
          <w:sz w:val="24"/>
        </w:rPr>
      </w:pPr>
    </w:p>
    <w:tbl>
      <w:tblPr>
        <w:tblStyle w:val="7"/>
        <w:tblW w:w="98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7518"/>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1384"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b/>
                <w:sz w:val="24"/>
              </w:rPr>
            </w:pPr>
            <w:r>
              <w:rPr>
                <w:rFonts w:hint="eastAsia" w:ascii="宋体" w:hAnsi="宋体"/>
                <w:b/>
                <w:sz w:val="24"/>
              </w:rPr>
              <w:t>评分项目</w:t>
            </w:r>
          </w:p>
        </w:tc>
        <w:tc>
          <w:tcPr>
            <w:tcW w:w="75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 w:val="24"/>
              </w:rPr>
            </w:pPr>
            <w:r>
              <w:rPr>
                <w:rFonts w:hint="eastAsia" w:ascii="宋体" w:hAnsi="宋体"/>
                <w:b/>
                <w:sz w:val="24"/>
              </w:rPr>
              <w:t>评分细则</w:t>
            </w:r>
          </w:p>
        </w:tc>
        <w:tc>
          <w:tcPr>
            <w:tcW w:w="900" w:type="dxa"/>
            <w:tcBorders>
              <w:top w:val="single" w:color="auto" w:sz="4" w:space="0"/>
              <w:left w:val="single" w:color="auto" w:sz="4" w:space="0"/>
              <w:bottom w:val="single" w:color="auto" w:sz="4" w:space="0"/>
              <w:right w:val="single" w:color="auto" w:sz="4" w:space="0"/>
            </w:tcBorders>
            <w:vAlign w:val="center"/>
          </w:tcPr>
          <w:p>
            <w:pPr>
              <w:snapToGrid w:val="0"/>
              <w:ind w:left="-3"/>
              <w:jc w:val="center"/>
              <w:rPr>
                <w:rFonts w:ascii="宋体" w:hAnsi="宋体"/>
                <w:b/>
                <w:sz w:val="24"/>
              </w:rPr>
            </w:pPr>
            <w:r>
              <w:rPr>
                <w:rFonts w:hint="eastAsia" w:ascii="宋体" w:hAnsi="宋体"/>
                <w:b/>
                <w:sz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jc w:val="center"/>
        </w:trPr>
        <w:tc>
          <w:tcPr>
            <w:tcW w:w="1384"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olor w:val="000000"/>
                <w:sz w:val="24"/>
              </w:rPr>
            </w:pPr>
            <w:r>
              <w:rPr>
                <w:rFonts w:hint="eastAsia" w:ascii="宋体" w:hAnsi="宋体"/>
                <w:color w:val="000000"/>
                <w:sz w:val="24"/>
              </w:rPr>
              <w:t>价格</w:t>
            </w:r>
          </w:p>
          <w:p>
            <w:pPr>
              <w:snapToGrid w:val="0"/>
              <w:jc w:val="center"/>
              <w:rPr>
                <w:rFonts w:ascii="宋体" w:hAnsi="宋体"/>
                <w:color w:val="000000"/>
                <w:sz w:val="24"/>
              </w:rPr>
            </w:pPr>
            <w:r>
              <w:rPr>
                <w:rFonts w:hint="eastAsia" w:ascii="宋体" w:hAnsi="宋体"/>
                <w:color w:val="000000"/>
                <w:sz w:val="24"/>
              </w:rPr>
              <w:t>部分</w:t>
            </w:r>
          </w:p>
          <w:p>
            <w:pPr>
              <w:snapToGrid w:val="0"/>
              <w:jc w:val="center"/>
              <w:rPr>
                <w:rFonts w:ascii="宋体" w:hAnsi="宋体"/>
                <w:color w:val="000000"/>
                <w:sz w:val="24"/>
              </w:rPr>
            </w:pPr>
            <w:r>
              <w:rPr>
                <w:rFonts w:hint="eastAsia" w:ascii="宋体" w:hAnsi="宋体"/>
                <w:color w:val="000000"/>
                <w:sz w:val="24"/>
              </w:rPr>
              <w:t>（</w:t>
            </w:r>
            <w:r>
              <w:rPr>
                <w:rFonts w:hint="eastAsia" w:ascii="宋体" w:hAnsi="宋体"/>
                <w:color w:val="000000"/>
                <w:sz w:val="24"/>
                <w:lang w:val="en-US" w:eastAsia="zh-CN"/>
              </w:rPr>
              <w:t>5</w:t>
            </w:r>
            <w:r>
              <w:rPr>
                <w:rFonts w:hint="eastAsia" w:ascii="宋体" w:hAnsi="宋体"/>
                <w:color w:val="000000"/>
                <w:sz w:val="24"/>
              </w:rPr>
              <w:t>0分）</w:t>
            </w:r>
          </w:p>
        </w:tc>
        <w:tc>
          <w:tcPr>
            <w:tcW w:w="7518" w:type="dxa"/>
            <w:tcBorders>
              <w:top w:val="single" w:color="auto" w:sz="4" w:space="0"/>
              <w:left w:val="single" w:color="auto" w:sz="4" w:space="0"/>
              <w:bottom w:val="single" w:color="auto" w:sz="4" w:space="0"/>
              <w:right w:val="single" w:color="auto" w:sz="4" w:space="0"/>
            </w:tcBorders>
            <w:vAlign w:val="center"/>
          </w:tcPr>
          <w:p>
            <w:pPr>
              <w:rPr>
                <w:rFonts w:ascii="宋体" w:hAnsi="宋体"/>
                <w:color w:val="000000"/>
                <w:sz w:val="24"/>
              </w:rPr>
            </w:pPr>
            <w:r>
              <w:rPr>
                <w:rFonts w:hint="eastAsia" w:ascii="宋体" w:hAnsi="宋体"/>
                <w:color w:val="000000"/>
                <w:sz w:val="24"/>
              </w:rPr>
              <w:t>本次价格评分统一采用低价优先法计算，即满足要求且投标价格最低的投标报价为评标基准价，其价格分为满分。其他投标人的价格评分统一按照下列公式计算：</w:t>
            </w:r>
          </w:p>
          <w:p>
            <w:pPr>
              <w:ind w:firstLine="405"/>
              <w:rPr>
                <w:rFonts w:ascii="宋体" w:hAnsi="宋体"/>
                <w:color w:val="000000"/>
                <w:sz w:val="24"/>
              </w:rPr>
            </w:pPr>
            <w:r>
              <w:rPr>
                <w:rFonts w:hint="eastAsia" w:ascii="宋体" w:hAnsi="宋体"/>
                <w:color w:val="000000"/>
                <w:sz w:val="24"/>
              </w:rPr>
              <w:t>价格评分 =（评标基准价/投标报价）×</w:t>
            </w:r>
            <w:r>
              <w:rPr>
                <w:rFonts w:hint="eastAsia" w:ascii="宋体" w:hAnsi="宋体"/>
                <w:color w:val="000000"/>
                <w:sz w:val="24"/>
                <w:lang w:val="en-US" w:eastAsia="zh-CN"/>
              </w:rPr>
              <w:t>5</w:t>
            </w:r>
            <w:r>
              <w:rPr>
                <w:rFonts w:hint="eastAsia" w:ascii="宋体" w:hAnsi="宋体"/>
                <w:color w:val="000000"/>
                <w:sz w:val="24"/>
              </w:rPr>
              <w:t>0</w:t>
            </w:r>
          </w:p>
        </w:tc>
        <w:tc>
          <w:tcPr>
            <w:tcW w:w="900" w:type="dxa"/>
            <w:tcBorders>
              <w:top w:val="single" w:color="auto" w:sz="4" w:space="0"/>
              <w:left w:val="single" w:color="auto" w:sz="4" w:space="0"/>
              <w:bottom w:val="single" w:color="auto" w:sz="4" w:space="0"/>
              <w:right w:val="single" w:color="auto" w:sz="4" w:space="0"/>
            </w:tcBorders>
            <w:vAlign w:val="center"/>
          </w:tcPr>
          <w:p>
            <w:pPr>
              <w:snapToGrid w:val="0"/>
              <w:ind w:left="-3"/>
              <w:jc w:val="center"/>
              <w:rPr>
                <w:rFonts w:ascii="宋体" w:hAnsi="宋体"/>
                <w:color w:val="000000"/>
                <w:sz w:val="24"/>
              </w:rPr>
            </w:pPr>
            <w:r>
              <w:rPr>
                <w:rFonts w:hint="eastAsia" w:ascii="宋体" w:hAnsi="宋体"/>
                <w:color w:val="000000"/>
                <w:sz w:val="24"/>
                <w:lang w:val="en-US" w:eastAsia="zh-CN"/>
              </w:rPr>
              <w:t>5</w:t>
            </w:r>
            <w:r>
              <w:rPr>
                <w:rFonts w:hint="eastAsia" w:ascii="宋体" w:hAnsi="宋体"/>
                <w:color w:val="000000"/>
                <w:sz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1384" w:type="dxa"/>
            <w:vMerge w:val="restart"/>
            <w:tcBorders>
              <w:top w:val="single" w:color="auto" w:sz="4" w:space="0"/>
              <w:left w:val="single" w:color="auto" w:sz="4" w:space="0"/>
              <w:right w:val="single" w:color="auto" w:sz="4" w:space="0"/>
            </w:tcBorders>
            <w:vAlign w:val="center"/>
          </w:tcPr>
          <w:p>
            <w:pPr>
              <w:snapToGrid w:val="0"/>
              <w:jc w:val="center"/>
              <w:rPr>
                <w:rFonts w:ascii="宋体" w:hAnsi="宋体"/>
                <w:color w:val="000000"/>
                <w:sz w:val="24"/>
              </w:rPr>
            </w:pPr>
            <w:r>
              <w:rPr>
                <w:rFonts w:hint="eastAsia" w:ascii="宋体" w:hAnsi="宋体"/>
                <w:color w:val="000000"/>
                <w:sz w:val="24"/>
              </w:rPr>
              <w:t>商务</w:t>
            </w:r>
          </w:p>
          <w:p>
            <w:pPr>
              <w:snapToGrid w:val="0"/>
              <w:jc w:val="center"/>
              <w:rPr>
                <w:rFonts w:ascii="宋体" w:hAnsi="宋体"/>
                <w:color w:val="000000"/>
                <w:sz w:val="24"/>
              </w:rPr>
            </w:pPr>
            <w:r>
              <w:rPr>
                <w:rFonts w:hint="eastAsia" w:ascii="宋体" w:hAnsi="宋体"/>
                <w:color w:val="000000"/>
                <w:sz w:val="24"/>
              </w:rPr>
              <w:t>部分</w:t>
            </w:r>
          </w:p>
          <w:p>
            <w:pPr>
              <w:snapToGrid w:val="0"/>
              <w:jc w:val="center"/>
              <w:rPr>
                <w:rFonts w:ascii="宋体" w:hAnsi="宋体"/>
                <w:color w:val="000000"/>
                <w:sz w:val="24"/>
              </w:rPr>
            </w:pPr>
            <w:r>
              <w:rPr>
                <w:rFonts w:hint="eastAsia" w:ascii="宋体" w:hAnsi="宋体"/>
                <w:color w:val="000000"/>
                <w:sz w:val="24"/>
              </w:rPr>
              <w:t>（10分）</w:t>
            </w:r>
          </w:p>
        </w:tc>
        <w:tc>
          <w:tcPr>
            <w:tcW w:w="7518" w:type="dxa"/>
            <w:tcBorders>
              <w:top w:val="single" w:color="auto" w:sz="4" w:space="0"/>
              <w:left w:val="single" w:color="auto" w:sz="4" w:space="0"/>
              <w:bottom w:val="single" w:color="auto" w:sz="4" w:space="0"/>
              <w:right w:val="single" w:color="auto" w:sz="4" w:space="0"/>
            </w:tcBorders>
            <w:vAlign w:val="center"/>
          </w:tcPr>
          <w:p>
            <w:pPr>
              <w:rPr>
                <w:rFonts w:ascii="宋体" w:hAnsi="宋体"/>
                <w:color w:val="000000"/>
                <w:sz w:val="24"/>
              </w:rPr>
            </w:pPr>
            <w:r>
              <w:rPr>
                <w:rFonts w:hint="eastAsia" w:ascii="宋体" w:hAnsi="宋体"/>
                <w:color w:val="000000"/>
                <w:sz w:val="24"/>
              </w:rPr>
              <w:t>1、质量管理体系：</w:t>
            </w:r>
          </w:p>
          <w:p>
            <w:pPr>
              <w:rPr>
                <w:rFonts w:ascii="宋体" w:hAnsi="宋体"/>
                <w:color w:val="000000"/>
                <w:sz w:val="24"/>
              </w:rPr>
            </w:pPr>
            <w:r>
              <w:rPr>
                <w:rFonts w:hint="eastAsia" w:ascii="宋体" w:hAnsi="宋体"/>
                <w:color w:val="000000"/>
                <w:sz w:val="24"/>
              </w:rPr>
              <w:t>按质量管理体系标准组织，有质量管理体系认证得</w:t>
            </w:r>
            <w:r>
              <w:rPr>
                <w:rFonts w:hint="eastAsia" w:ascii="宋体" w:hAnsi="宋体"/>
                <w:color w:val="000000"/>
                <w:sz w:val="24"/>
                <w:lang w:val="en-US" w:eastAsia="zh-CN"/>
              </w:rPr>
              <w:t>2</w:t>
            </w:r>
            <w:r>
              <w:rPr>
                <w:rFonts w:hint="eastAsia" w:ascii="宋体" w:hAnsi="宋体"/>
                <w:color w:val="000000"/>
                <w:sz w:val="24"/>
              </w:rPr>
              <w:t>分，没有得0分。</w:t>
            </w:r>
          </w:p>
        </w:tc>
        <w:tc>
          <w:tcPr>
            <w:tcW w:w="900" w:type="dxa"/>
            <w:tcBorders>
              <w:top w:val="single" w:color="auto" w:sz="4" w:space="0"/>
              <w:left w:val="single" w:color="auto" w:sz="4" w:space="0"/>
              <w:bottom w:val="single" w:color="auto" w:sz="4" w:space="0"/>
              <w:right w:val="single" w:color="auto" w:sz="4" w:space="0"/>
            </w:tcBorders>
            <w:vAlign w:val="center"/>
          </w:tcPr>
          <w:p>
            <w:pPr>
              <w:snapToGrid w:val="0"/>
              <w:ind w:left="-3"/>
              <w:jc w:val="center"/>
              <w:rPr>
                <w:rFonts w:hint="eastAsia" w:ascii="宋体" w:hAnsi="宋体" w:eastAsia="宋体"/>
                <w:color w:val="000000"/>
                <w:sz w:val="24"/>
                <w:lang w:eastAsia="zh-CN"/>
              </w:rPr>
            </w:pPr>
            <w:r>
              <w:rPr>
                <w:rFonts w:hint="eastAsia" w:ascii="宋体" w:hAnsi="宋体"/>
                <w:color w:val="000000"/>
                <w:sz w:val="24"/>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jc w:val="center"/>
        </w:trPr>
        <w:tc>
          <w:tcPr>
            <w:tcW w:w="1384" w:type="dxa"/>
            <w:vMerge w:val="continue"/>
            <w:tcBorders>
              <w:left w:val="single" w:color="auto" w:sz="4" w:space="0"/>
              <w:right w:val="single" w:color="auto" w:sz="4" w:space="0"/>
            </w:tcBorders>
            <w:vAlign w:val="center"/>
          </w:tcPr>
          <w:p>
            <w:pPr>
              <w:snapToGrid w:val="0"/>
              <w:jc w:val="center"/>
              <w:rPr>
                <w:rFonts w:ascii="宋体" w:hAnsi="宋体"/>
                <w:color w:val="000000"/>
                <w:sz w:val="24"/>
              </w:rPr>
            </w:pPr>
          </w:p>
        </w:tc>
        <w:tc>
          <w:tcPr>
            <w:tcW w:w="751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olor w:val="000000"/>
                <w:sz w:val="24"/>
                <w:lang w:eastAsia="zh-CN"/>
              </w:rPr>
            </w:pPr>
            <w:r>
              <w:rPr>
                <w:rFonts w:hint="eastAsia" w:ascii="宋体" w:hAnsi="宋体"/>
                <w:color w:val="000000"/>
                <w:sz w:val="24"/>
              </w:rPr>
              <w:t>2、投标人的相关业绩（每提供一个在投标截止日起近3年内相似产品项目合同案例加</w:t>
            </w:r>
            <w:r>
              <w:rPr>
                <w:rFonts w:ascii="宋体" w:hAnsi="宋体"/>
                <w:color w:val="000000"/>
                <w:sz w:val="24"/>
              </w:rPr>
              <w:t>2</w:t>
            </w:r>
            <w:r>
              <w:rPr>
                <w:rFonts w:hint="eastAsia" w:ascii="宋体" w:hAnsi="宋体"/>
                <w:color w:val="000000"/>
                <w:sz w:val="24"/>
              </w:rPr>
              <w:t>分，最高不超过</w:t>
            </w:r>
            <w:r>
              <w:rPr>
                <w:rFonts w:hint="eastAsia" w:ascii="宋体" w:hAnsi="宋体"/>
                <w:color w:val="000000"/>
                <w:sz w:val="24"/>
                <w:lang w:val="en-US" w:eastAsia="zh-CN"/>
              </w:rPr>
              <w:t>4</w:t>
            </w:r>
            <w:r>
              <w:rPr>
                <w:rFonts w:hint="eastAsia" w:ascii="宋体" w:hAnsi="宋体"/>
                <w:color w:val="000000"/>
                <w:sz w:val="24"/>
              </w:rPr>
              <w:t>分，案例以提供的合同为准，要求必须提供与最终用户签订的合同首页、合同金额所在页、签字盖章页复印件作为证明）</w:t>
            </w:r>
            <w:r>
              <w:rPr>
                <w:rFonts w:hint="eastAsia" w:ascii="宋体" w:hAnsi="宋体"/>
                <w:color w:val="000000"/>
                <w:sz w:val="24"/>
                <w:lang w:eastAsia="zh-CN"/>
              </w:rPr>
              <w:t>。</w:t>
            </w:r>
          </w:p>
        </w:tc>
        <w:tc>
          <w:tcPr>
            <w:tcW w:w="900" w:type="dxa"/>
            <w:tcBorders>
              <w:top w:val="single" w:color="auto" w:sz="4" w:space="0"/>
              <w:left w:val="single" w:color="auto" w:sz="4" w:space="0"/>
              <w:bottom w:val="single" w:color="auto" w:sz="4" w:space="0"/>
              <w:right w:val="single" w:color="auto" w:sz="4" w:space="0"/>
            </w:tcBorders>
            <w:vAlign w:val="center"/>
          </w:tcPr>
          <w:p>
            <w:pPr>
              <w:snapToGrid w:val="0"/>
              <w:ind w:left="-3"/>
              <w:jc w:val="center"/>
              <w:rPr>
                <w:rFonts w:hint="eastAsia" w:ascii="宋体" w:hAnsi="宋体" w:eastAsia="宋体"/>
                <w:color w:val="000000"/>
                <w:sz w:val="24"/>
                <w:lang w:eastAsia="zh-CN"/>
              </w:rPr>
            </w:pPr>
            <w:r>
              <w:rPr>
                <w:rFonts w:hint="eastAsia" w:ascii="宋体" w:hAnsi="宋体"/>
                <w:color w:val="000000"/>
                <w:sz w:val="24"/>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jc w:val="center"/>
        </w:trPr>
        <w:tc>
          <w:tcPr>
            <w:tcW w:w="1384" w:type="dxa"/>
            <w:vMerge w:val="continue"/>
            <w:tcBorders>
              <w:left w:val="single" w:color="auto" w:sz="4" w:space="0"/>
              <w:right w:val="single" w:color="auto" w:sz="4" w:space="0"/>
            </w:tcBorders>
            <w:vAlign w:val="center"/>
          </w:tcPr>
          <w:p>
            <w:pPr>
              <w:snapToGrid w:val="0"/>
              <w:jc w:val="center"/>
              <w:rPr>
                <w:rFonts w:ascii="宋体" w:hAnsi="宋体"/>
                <w:color w:val="000000"/>
                <w:sz w:val="24"/>
              </w:rPr>
            </w:pPr>
          </w:p>
        </w:tc>
        <w:tc>
          <w:tcPr>
            <w:tcW w:w="751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olor w:val="000000"/>
                <w:sz w:val="24"/>
                <w:lang w:eastAsia="zh-CN"/>
              </w:rPr>
            </w:pPr>
            <w:r>
              <w:rPr>
                <w:rFonts w:hint="eastAsia" w:ascii="宋体" w:hAnsi="宋体"/>
                <w:color w:val="000000"/>
                <w:sz w:val="24"/>
                <w:lang w:val="en-US" w:eastAsia="zh-CN"/>
              </w:rPr>
              <w:t>3、</w:t>
            </w:r>
            <w:r>
              <w:rPr>
                <w:rFonts w:hint="eastAsia" w:ascii="宋体" w:hAnsi="宋体"/>
                <w:color w:val="000000"/>
                <w:sz w:val="24"/>
              </w:rPr>
              <w:t>提供近三年</w:t>
            </w:r>
            <w:r>
              <w:rPr>
                <w:rFonts w:hint="eastAsia" w:ascii="宋体" w:hAnsi="宋体"/>
                <w:color w:val="000000"/>
                <w:sz w:val="24"/>
                <w:lang w:val="en-US" w:eastAsia="zh-CN"/>
              </w:rPr>
              <w:t>财务报表</w:t>
            </w:r>
            <w:r>
              <w:rPr>
                <w:rFonts w:hint="eastAsia" w:ascii="宋体" w:hAnsi="宋体"/>
                <w:color w:val="000000"/>
                <w:sz w:val="24"/>
              </w:rPr>
              <w:t>，经审计且内容完整的，</w:t>
            </w:r>
            <w:r>
              <w:rPr>
                <w:rFonts w:hint="eastAsia" w:ascii="宋体" w:hAnsi="宋体"/>
                <w:color w:val="000000"/>
                <w:sz w:val="24"/>
                <w:lang w:val="en-US" w:eastAsia="zh-CN"/>
              </w:rPr>
              <w:t>4</w:t>
            </w:r>
            <w:r>
              <w:rPr>
                <w:rFonts w:hint="eastAsia" w:ascii="宋体" w:hAnsi="宋体"/>
                <w:color w:val="000000"/>
                <w:sz w:val="24"/>
              </w:rPr>
              <w:t>分，内容不完整</w:t>
            </w:r>
            <w:r>
              <w:rPr>
                <w:rFonts w:hint="eastAsia" w:ascii="宋体" w:hAnsi="宋体"/>
                <w:color w:val="000000"/>
                <w:sz w:val="24"/>
                <w:lang w:val="en-US" w:eastAsia="zh-CN"/>
              </w:rPr>
              <w:t>或</w:t>
            </w:r>
            <w:r>
              <w:rPr>
                <w:rFonts w:hint="eastAsia" w:ascii="宋体" w:hAnsi="宋体"/>
                <w:color w:val="000000"/>
                <w:sz w:val="24"/>
              </w:rPr>
              <w:t>未提供的，0分</w:t>
            </w:r>
            <w:r>
              <w:rPr>
                <w:rFonts w:hint="eastAsia" w:ascii="宋体" w:hAnsi="宋体"/>
                <w:color w:val="000000"/>
                <w:sz w:val="24"/>
                <w:lang w:eastAsia="zh-CN"/>
              </w:rPr>
              <w:t>。</w:t>
            </w:r>
          </w:p>
        </w:tc>
        <w:tc>
          <w:tcPr>
            <w:tcW w:w="900" w:type="dxa"/>
            <w:tcBorders>
              <w:top w:val="single" w:color="auto" w:sz="4" w:space="0"/>
              <w:left w:val="single" w:color="auto" w:sz="4" w:space="0"/>
              <w:bottom w:val="single" w:color="auto" w:sz="4" w:space="0"/>
              <w:right w:val="single" w:color="auto" w:sz="4" w:space="0"/>
            </w:tcBorders>
            <w:vAlign w:val="center"/>
          </w:tcPr>
          <w:p>
            <w:pPr>
              <w:snapToGrid w:val="0"/>
              <w:ind w:left="-3"/>
              <w:jc w:val="center"/>
              <w:rPr>
                <w:rFonts w:hint="eastAsia" w:ascii="宋体" w:hAnsi="宋体" w:eastAsia="宋体"/>
                <w:color w:val="000000"/>
                <w:sz w:val="24"/>
                <w:lang w:val="en-US" w:eastAsia="zh-CN"/>
              </w:rPr>
            </w:pPr>
            <w:r>
              <w:rPr>
                <w:rFonts w:hint="eastAsia" w:ascii="宋体" w:hAnsi="宋体"/>
                <w:color w:val="000000"/>
                <w:sz w:val="24"/>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384" w:type="dxa"/>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 w:val="24"/>
              </w:rPr>
            </w:pPr>
            <w:r>
              <w:rPr>
                <w:rFonts w:hint="eastAsia" w:ascii="宋体" w:hAnsi="宋体"/>
                <w:sz w:val="24"/>
              </w:rPr>
              <w:t>技术</w:t>
            </w:r>
          </w:p>
          <w:p>
            <w:pPr>
              <w:snapToGrid w:val="0"/>
              <w:jc w:val="center"/>
              <w:rPr>
                <w:rFonts w:ascii="宋体" w:hAnsi="宋体"/>
                <w:sz w:val="24"/>
              </w:rPr>
            </w:pPr>
            <w:r>
              <w:rPr>
                <w:rFonts w:hint="eastAsia" w:ascii="宋体" w:hAnsi="宋体"/>
                <w:sz w:val="24"/>
              </w:rPr>
              <w:t>部分</w:t>
            </w:r>
          </w:p>
          <w:p>
            <w:pPr>
              <w:snapToGrid w:val="0"/>
              <w:jc w:val="center"/>
              <w:rPr>
                <w:rFonts w:ascii="宋体" w:hAnsi="宋体"/>
                <w:sz w:val="24"/>
              </w:rPr>
            </w:pPr>
            <w:r>
              <w:rPr>
                <w:rFonts w:hint="eastAsia" w:ascii="宋体" w:hAnsi="宋体"/>
                <w:sz w:val="24"/>
              </w:rPr>
              <w:t>（</w:t>
            </w:r>
            <w:r>
              <w:rPr>
                <w:rFonts w:hint="eastAsia" w:ascii="宋体" w:hAnsi="宋体"/>
                <w:sz w:val="24"/>
                <w:lang w:val="en-US" w:eastAsia="zh-CN"/>
              </w:rPr>
              <w:t>4</w:t>
            </w:r>
            <w:r>
              <w:rPr>
                <w:rFonts w:hint="eastAsia" w:ascii="宋体" w:hAnsi="宋体"/>
                <w:sz w:val="24"/>
              </w:rPr>
              <w:t>0分）</w:t>
            </w:r>
          </w:p>
        </w:tc>
        <w:tc>
          <w:tcPr>
            <w:tcW w:w="7518" w:type="dxa"/>
            <w:tcBorders>
              <w:top w:val="single" w:color="auto" w:sz="4" w:space="0"/>
              <w:left w:val="single" w:color="auto" w:sz="4" w:space="0"/>
              <w:bottom w:val="single" w:color="auto" w:sz="4" w:space="0"/>
              <w:right w:val="single" w:color="auto" w:sz="4" w:space="0"/>
            </w:tcBorders>
            <w:vAlign w:val="center"/>
          </w:tcPr>
          <w:p>
            <w:pPr>
              <w:rPr>
                <w:rFonts w:ascii="宋体" w:hAnsi="宋体"/>
                <w:sz w:val="24"/>
              </w:rPr>
            </w:pPr>
            <w:r>
              <w:rPr>
                <w:rFonts w:hint="eastAsia" w:ascii="宋体" w:hAnsi="宋体"/>
                <w:sz w:val="24"/>
              </w:rPr>
              <w:t>1、技术指标条款响应情况</w:t>
            </w:r>
          </w:p>
          <w:p>
            <w:pPr>
              <w:numPr>
                <w:ilvl w:val="0"/>
                <w:numId w:val="1"/>
              </w:numPr>
              <w:rPr>
                <w:rFonts w:ascii="宋体" w:hAnsi="宋体"/>
                <w:sz w:val="24"/>
              </w:rPr>
            </w:pPr>
            <w:r>
              <w:rPr>
                <w:rFonts w:hint="eastAsia" w:ascii="宋体" w:hAnsi="宋体"/>
                <w:sz w:val="24"/>
              </w:rPr>
              <w:t>技术偏离表须依据招标文件技术指标逐条响应，否则视为未实质性响应招标文件, 其投标予以拒绝；</w:t>
            </w:r>
          </w:p>
          <w:p>
            <w:pPr>
              <w:numPr>
                <w:ilvl w:val="0"/>
                <w:numId w:val="1"/>
              </w:numPr>
              <w:rPr>
                <w:rFonts w:ascii="宋体" w:hAnsi="宋体"/>
                <w:sz w:val="24"/>
              </w:rPr>
            </w:pPr>
            <w:r>
              <w:rPr>
                <w:rFonts w:hint="eastAsia" w:ascii="宋体" w:hAnsi="宋体"/>
                <w:sz w:val="24"/>
              </w:rPr>
              <w:t>技术指标评审基准分为</w:t>
            </w:r>
            <w:r>
              <w:rPr>
                <w:rFonts w:hint="eastAsia" w:ascii="宋体" w:hAnsi="宋体"/>
                <w:sz w:val="24"/>
                <w:lang w:val="en-US" w:eastAsia="zh-CN"/>
              </w:rPr>
              <w:t>35</w:t>
            </w:r>
            <w:r>
              <w:rPr>
                <w:rFonts w:hint="eastAsia" w:ascii="宋体" w:hAnsi="宋体"/>
                <w:sz w:val="24"/>
              </w:rPr>
              <w:t>分，评委根据技术指标的偏离情况按以下标准进行评审：</w:t>
            </w:r>
          </w:p>
          <w:p>
            <w:pPr>
              <w:ind w:left="420"/>
              <w:rPr>
                <w:rFonts w:ascii="宋体" w:hAnsi="宋体"/>
                <w:sz w:val="24"/>
              </w:rPr>
            </w:pPr>
            <w:r>
              <w:rPr>
                <w:rFonts w:hint="eastAsia" w:ascii="宋体" w:hAnsi="宋体"/>
                <w:sz w:val="24"/>
              </w:rPr>
              <w:t>a．标记为“*”的指标是关键技术条款，正偏离不加分，如不满足其投标予以拒绝；</w:t>
            </w:r>
          </w:p>
          <w:p>
            <w:pPr>
              <w:ind w:left="420"/>
              <w:rPr>
                <w:rFonts w:ascii="宋体" w:hAnsi="宋体"/>
                <w:sz w:val="24"/>
              </w:rPr>
            </w:pPr>
            <w:r>
              <w:rPr>
                <w:rFonts w:hint="eastAsia" w:ascii="宋体" w:hAnsi="宋体"/>
                <w:sz w:val="24"/>
              </w:rPr>
              <w:t>b．标记为</w:t>
            </w:r>
            <w:r>
              <w:rPr>
                <w:rFonts w:ascii="宋体" w:hAnsi="宋体"/>
                <w:sz w:val="24"/>
              </w:rPr>
              <w:t>“</w:t>
            </w:r>
            <w:r>
              <w:rPr>
                <w:rFonts w:hint="eastAsia" w:ascii="宋体" w:hAnsi="宋体"/>
                <w:sz w:val="24"/>
              </w:rPr>
              <w:t>#</w:t>
            </w:r>
            <w:r>
              <w:rPr>
                <w:rFonts w:ascii="宋体" w:hAnsi="宋体"/>
                <w:sz w:val="24"/>
              </w:rPr>
              <w:t>”</w:t>
            </w:r>
            <w:r>
              <w:rPr>
                <w:rFonts w:hint="eastAsia" w:ascii="宋体" w:hAnsi="宋体"/>
                <w:sz w:val="24"/>
              </w:rPr>
              <w:t>的指标</w:t>
            </w:r>
            <w:r>
              <w:rPr>
                <w:rFonts w:ascii="宋体" w:hAnsi="宋体"/>
                <w:sz w:val="24"/>
              </w:rPr>
              <w:t>是</w:t>
            </w:r>
            <w:r>
              <w:rPr>
                <w:rFonts w:hint="eastAsia" w:ascii="宋体" w:hAnsi="宋体"/>
                <w:sz w:val="24"/>
              </w:rPr>
              <w:t>重要技术条款</w:t>
            </w:r>
            <w:r>
              <w:rPr>
                <w:rFonts w:ascii="宋体" w:hAnsi="宋体"/>
                <w:sz w:val="24"/>
              </w:rPr>
              <w:t>，正偏离</w:t>
            </w:r>
            <w:r>
              <w:rPr>
                <w:rFonts w:hint="eastAsia" w:ascii="宋体" w:hAnsi="宋体"/>
                <w:sz w:val="24"/>
              </w:rPr>
              <w:t>不加分</w:t>
            </w:r>
            <w:r>
              <w:rPr>
                <w:rFonts w:ascii="宋体" w:hAnsi="宋体"/>
                <w:sz w:val="24"/>
              </w:rPr>
              <w:t>，负偏离每条减</w:t>
            </w:r>
            <w:r>
              <w:rPr>
                <w:rFonts w:hint="eastAsia" w:ascii="宋体" w:hAnsi="宋体"/>
                <w:sz w:val="24"/>
                <w:u w:val="single"/>
              </w:rPr>
              <w:t xml:space="preserve">  </w:t>
            </w:r>
            <w:r>
              <w:rPr>
                <w:rFonts w:ascii="宋体" w:hAnsi="宋体"/>
                <w:sz w:val="24"/>
                <w:u w:val="single"/>
              </w:rPr>
              <w:t>5</w:t>
            </w:r>
            <w:r>
              <w:rPr>
                <w:rFonts w:hint="eastAsia" w:ascii="宋体" w:hAnsi="宋体"/>
                <w:sz w:val="24"/>
                <w:u w:val="single"/>
              </w:rPr>
              <w:t xml:space="preserve"> </w:t>
            </w:r>
            <w:r>
              <w:rPr>
                <w:rFonts w:ascii="宋体" w:hAnsi="宋体"/>
                <w:sz w:val="24"/>
              </w:rPr>
              <w:t>分</w:t>
            </w:r>
            <w:r>
              <w:rPr>
                <w:rFonts w:hint="eastAsia" w:ascii="宋体" w:hAnsi="宋体"/>
                <w:sz w:val="24"/>
              </w:rPr>
              <w:t>；</w:t>
            </w:r>
          </w:p>
          <w:p>
            <w:pPr>
              <w:ind w:left="420"/>
              <w:rPr>
                <w:rFonts w:ascii="宋体" w:hAnsi="宋体"/>
                <w:sz w:val="24"/>
              </w:rPr>
            </w:pPr>
            <w:r>
              <w:rPr>
                <w:rFonts w:hint="eastAsia" w:ascii="宋体" w:hAnsi="宋体"/>
                <w:sz w:val="24"/>
              </w:rPr>
              <w:t>c．无标记的指标是一般技术条款，</w:t>
            </w:r>
            <w:r>
              <w:rPr>
                <w:rFonts w:ascii="宋体" w:hAnsi="宋体"/>
                <w:sz w:val="24"/>
              </w:rPr>
              <w:t>正偏离</w:t>
            </w:r>
            <w:r>
              <w:rPr>
                <w:rFonts w:hint="eastAsia" w:ascii="宋体" w:hAnsi="宋体"/>
                <w:sz w:val="24"/>
              </w:rPr>
              <w:t>不加分，</w:t>
            </w:r>
            <w:r>
              <w:rPr>
                <w:rFonts w:ascii="宋体" w:hAnsi="宋体"/>
                <w:sz w:val="24"/>
              </w:rPr>
              <w:t>负偏离</w:t>
            </w:r>
            <w:r>
              <w:rPr>
                <w:rFonts w:hint="eastAsia" w:ascii="宋体" w:hAnsi="宋体"/>
                <w:sz w:val="24"/>
              </w:rPr>
              <w:t>不</w:t>
            </w:r>
            <w:r>
              <w:rPr>
                <w:rFonts w:ascii="宋体" w:hAnsi="宋体"/>
                <w:sz w:val="24"/>
              </w:rPr>
              <w:t>减分</w:t>
            </w:r>
            <w:r>
              <w:rPr>
                <w:rFonts w:hint="eastAsia" w:ascii="宋体" w:hAnsi="宋体"/>
                <w:sz w:val="24"/>
              </w:rPr>
              <w:t>。</w:t>
            </w:r>
          </w:p>
          <w:p>
            <w:pPr>
              <w:snapToGrid w:val="0"/>
              <w:rPr>
                <w:rFonts w:ascii="宋体" w:hAnsi="宋体"/>
                <w:sz w:val="24"/>
              </w:rPr>
            </w:pPr>
          </w:p>
          <w:p>
            <w:pPr>
              <w:snapToGrid w:val="0"/>
              <w:rPr>
                <w:rFonts w:ascii="宋体" w:hAnsi="宋体"/>
                <w:sz w:val="24"/>
              </w:rPr>
            </w:pPr>
            <w:r>
              <w:rPr>
                <w:rFonts w:hint="eastAsia" w:ascii="宋体" w:hAnsi="宋体"/>
                <w:sz w:val="24"/>
              </w:rPr>
              <w:t>注：投标人在响应技术条款时，应提供制造商公开发布的印刷资料（彩页或Datasheet）或检测机构出具的检测报告，若制造商公开发布的印刷资料与检测机构出具的检测报告不一致，以检测机构出具的检测报告为准。如果投标人不提供印刷资料或检测报告；印刷资料或检测报告出现与技术规格响应不一致；或无法体现投标人技术规格响应的情况时，评标委员会有权不予以认可。</w:t>
            </w:r>
          </w:p>
          <w:p>
            <w:pPr>
              <w:spacing w:line="400" w:lineRule="exact"/>
              <w:rPr>
                <w:rFonts w:ascii="宋体" w:hAnsi="宋体"/>
                <w:sz w:val="24"/>
              </w:rPr>
            </w:pPr>
          </w:p>
          <w:p>
            <w:pPr>
              <w:snapToGrid w:val="0"/>
              <w:rPr>
                <w:rFonts w:ascii="宋体" w:hAnsi="宋体"/>
                <w:sz w:val="24"/>
              </w:rPr>
            </w:pPr>
            <w:r>
              <w:rPr>
                <w:rFonts w:hint="eastAsia" w:ascii="宋体" w:hAnsi="宋体"/>
                <w:sz w:val="24"/>
              </w:rPr>
              <w:t>投标人对标记为星号（“*”）的关键技术条款必须在投标文件中提供技术支持资料。技术支持资料以制造商公开发布的印刷资料或检测机构出具的检测报告为准，凡不提供技术支持资料的，视为不满足招标文件要求，其投标予以拒绝。</w:t>
            </w:r>
          </w:p>
        </w:tc>
        <w:tc>
          <w:tcPr>
            <w:tcW w:w="900" w:type="dxa"/>
            <w:tcBorders>
              <w:top w:val="single" w:color="auto" w:sz="4" w:space="0"/>
              <w:left w:val="single" w:color="auto" w:sz="4" w:space="0"/>
              <w:bottom w:val="single" w:color="auto" w:sz="4" w:space="0"/>
              <w:right w:val="single" w:color="auto" w:sz="4" w:space="0"/>
            </w:tcBorders>
            <w:vAlign w:val="center"/>
          </w:tcPr>
          <w:p>
            <w:pPr>
              <w:snapToGrid w:val="0"/>
              <w:ind w:left="-3"/>
              <w:jc w:val="center"/>
              <w:rPr>
                <w:rFonts w:ascii="宋体" w:hAnsi="宋体"/>
                <w:sz w:val="24"/>
              </w:rPr>
            </w:pPr>
            <w:r>
              <w:rPr>
                <w:rFonts w:hint="eastAsia" w:ascii="宋体" w:hAnsi="宋体"/>
                <w:sz w:val="24"/>
                <w:lang w:val="en-US" w:eastAsia="zh-CN"/>
              </w:rPr>
              <w:t>3</w:t>
            </w:r>
            <w:r>
              <w:rPr>
                <w:rFonts w:hint="eastAsia" w:ascii="宋体" w:hAnsi="宋体"/>
                <w:sz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jc w:val="center"/>
        </w:trPr>
        <w:tc>
          <w:tcPr>
            <w:tcW w:w="1384"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sz w:val="24"/>
              </w:rPr>
            </w:pPr>
          </w:p>
        </w:tc>
        <w:tc>
          <w:tcPr>
            <w:tcW w:w="7518" w:type="dxa"/>
            <w:tcBorders>
              <w:top w:val="single" w:color="auto" w:sz="4" w:space="0"/>
              <w:left w:val="single" w:color="auto" w:sz="4" w:space="0"/>
              <w:bottom w:val="single" w:color="auto" w:sz="4" w:space="0"/>
              <w:right w:val="single" w:color="auto" w:sz="4" w:space="0"/>
            </w:tcBorders>
            <w:vAlign w:val="center"/>
          </w:tcPr>
          <w:p>
            <w:pPr>
              <w:numPr>
                <w:ilvl w:val="0"/>
                <w:numId w:val="2"/>
              </w:numPr>
              <w:spacing w:line="320" w:lineRule="exact"/>
              <w:rPr>
                <w:rFonts w:ascii="宋体" w:hAnsi="宋体"/>
                <w:sz w:val="24"/>
              </w:rPr>
            </w:pPr>
            <w:r>
              <w:rPr>
                <w:rFonts w:hint="eastAsia" w:ascii="宋体" w:hAnsi="宋体"/>
                <w:sz w:val="24"/>
              </w:rPr>
              <w:t>售后及技术支持服务方案</w:t>
            </w:r>
          </w:p>
          <w:p>
            <w:pPr>
              <w:spacing w:line="320" w:lineRule="exact"/>
              <w:rPr>
                <w:rFonts w:ascii="宋体" w:hAnsi="宋体"/>
                <w:sz w:val="24"/>
              </w:rPr>
            </w:pPr>
            <w:r>
              <w:rPr>
                <w:rFonts w:hint="eastAsia" w:ascii="宋体" w:hAnsi="宋体"/>
                <w:sz w:val="24"/>
              </w:rPr>
              <w:t>不满足招标文件要求的得0分；基本满足招标文件要求的得</w:t>
            </w:r>
            <w:r>
              <w:rPr>
                <w:rFonts w:ascii="宋体" w:hAnsi="宋体"/>
                <w:sz w:val="24"/>
              </w:rPr>
              <w:t>2</w:t>
            </w:r>
            <w:r>
              <w:rPr>
                <w:rFonts w:hint="eastAsia" w:ascii="宋体" w:hAnsi="宋体"/>
                <w:sz w:val="24"/>
              </w:rPr>
              <w:t>分；完全满足和优于招标文件要求的得</w:t>
            </w:r>
            <w:r>
              <w:rPr>
                <w:rFonts w:ascii="宋体" w:hAnsi="宋体"/>
                <w:sz w:val="24"/>
              </w:rPr>
              <w:t>5</w:t>
            </w:r>
            <w:r>
              <w:rPr>
                <w:rFonts w:hint="eastAsia" w:ascii="宋体" w:hAnsi="宋体"/>
                <w:sz w:val="24"/>
              </w:rPr>
              <w:t>分</w:t>
            </w:r>
          </w:p>
        </w:tc>
        <w:tc>
          <w:tcPr>
            <w:tcW w:w="900" w:type="dxa"/>
            <w:tcBorders>
              <w:top w:val="single" w:color="auto" w:sz="4" w:space="0"/>
              <w:left w:val="single" w:color="auto" w:sz="4" w:space="0"/>
              <w:bottom w:val="single" w:color="auto" w:sz="4" w:space="0"/>
              <w:right w:val="single" w:color="auto" w:sz="4" w:space="0"/>
            </w:tcBorders>
            <w:vAlign w:val="center"/>
          </w:tcPr>
          <w:p>
            <w:pPr>
              <w:snapToGrid w:val="0"/>
              <w:ind w:left="-3"/>
              <w:jc w:val="center"/>
              <w:rPr>
                <w:rFonts w:ascii="宋体" w:hAnsi="宋体"/>
                <w:sz w:val="24"/>
              </w:rPr>
            </w:pPr>
            <w:r>
              <w:rPr>
                <w:rFonts w:ascii="宋体" w:hAnsi="宋体"/>
                <w:sz w:val="24"/>
              </w:rPr>
              <w:t>5</w:t>
            </w:r>
          </w:p>
        </w:tc>
      </w:tr>
    </w:tbl>
    <w:p>
      <w:pPr>
        <w:spacing w:line="360" w:lineRule="auto"/>
        <w:rPr>
          <w:sz w:val="24"/>
        </w:rPr>
        <w:sectPr>
          <w:pgSz w:w="11906" w:h="16838"/>
          <w:pgMar w:top="1440" w:right="1800" w:bottom="1440" w:left="1800" w:header="851" w:footer="992" w:gutter="0"/>
          <w:cols w:space="425" w:num="1"/>
          <w:docGrid w:type="lines" w:linePitch="312" w:charSpace="0"/>
        </w:sectPr>
      </w:pPr>
    </w:p>
    <w:p>
      <w:pPr>
        <w:rPr>
          <w:rFonts w:hint="eastAsia" w:eastAsia="宋体"/>
          <w:bCs/>
          <w:sz w:val="32"/>
          <w:szCs w:val="32"/>
          <w:lang w:val="en-US" w:eastAsia="zh-CN"/>
        </w:rPr>
      </w:pPr>
      <w:r>
        <w:rPr>
          <w:rFonts w:hint="eastAsia"/>
          <w:bCs/>
          <w:sz w:val="32"/>
          <w:szCs w:val="32"/>
        </w:rPr>
        <w:t>附件</w:t>
      </w:r>
      <w:r>
        <w:rPr>
          <w:rFonts w:hint="eastAsia"/>
          <w:bCs/>
          <w:sz w:val="32"/>
          <w:szCs w:val="32"/>
          <w:lang w:val="en-US" w:eastAsia="zh-CN"/>
        </w:rPr>
        <w:t>2</w:t>
      </w:r>
    </w:p>
    <w:p>
      <w:pPr>
        <w:jc w:val="center"/>
        <w:rPr>
          <w:rFonts w:ascii="方正小标宋简体" w:hAnsi="方正小标宋简体" w:eastAsia="方正小标宋简体" w:cs="方正小标宋简体"/>
          <w:b/>
          <w:sz w:val="36"/>
          <w:szCs w:val="36"/>
        </w:rPr>
      </w:pPr>
      <w:r>
        <w:rPr>
          <w:rFonts w:hint="eastAsia" w:ascii="方正小标宋简体" w:hAnsi="方正小标宋简体" w:eastAsia="方正小标宋简体" w:cs="方正小标宋简体"/>
          <w:b/>
          <w:sz w:val="36"/>
          <w:szCs w:val="36"/>
        </w:rPr>
        <w:t>主要技术参数响应表</w:t>
      </w:r>
    </w:p>
    <w:p>
      <w:pPr>
        <w:jc w:val="center"/>
        <w:rPr>
          <w:rFonts w:ascii="方正小标宋简体" w:hAnsi="方正小标宋简体" w:eastAsia="方正小标宋简体" w:cs="方正小标宋简体"/>
          <w:b/>
          <w:sz w:val="36"/>
          <w:szCs w:val="36"/>
        </w:rPr>
      </w:pPr>
    </w:p>
    <w:tbl>
      <w:tblPr>
        <w:tblStyle w:val="7"/>
        <w:tblW w:w="99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6"/>
        <w:gridCol w:w="2035"/>
        <w:gridCol w:w="2676"/>
        <w:gridCol w:w="1701"/>
        <w:gridCol w:w="24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131" w:type="dxa"/>
            <w:gridSpan w:val="2"/>
            <w:shd w:val="clear" w:color="auto" w:fill="auto"/>
            <w:noWrap/>
            <w:vAlign w:val="center"/>
          </w:tcPr>
          <w:p>
            <w:pPr>
              <w:jc w:val="center"/>
              <w:rPr>
                <w:b/>
                <w:bCs/>
                <w:color w:val="000000"/>
                <w:szCs w:val="21"/>
              </w:rPr>
            </w:pPr>
            <w:r>
              <w:rPr>
                <w:b/>
                <w:bCs/>
                <w:color w:val="000000"/>
                <w:szCs w:val="21"/>
              </w:rPr>
              <w:t>项目</w:t>
            </w:r>
          </w:p>
        </w:tc>
        <w:tc>
          <w:tcPr>
            <w:tcW w:w="2676" w:type="dxa"/>
            <w:shd w:val="clear" w:color="auto" w:fill="auto"/>
            <w:noWrap/>
            <w:vAlign w:val="center"/>
          </w:tcPr>
          <w:p>
            <w:pPr>
              <w:widowControl/>
              <w:jc w:val="center"/>
              <w:textAlignment w:val="center"/>
              <w:rPr>
                <w:b/>
                <w:bCs/>
                <w:color w:val="000000"/>
                <w:szCs w:val="21"/>
              </w:rPr>
            </w:pPr>
            <w:r>
              <w:rPr>
                <w:b/>
                <w:bCs/>
                <w:color w:val="000000"/>
                <w:kern w:val="0"/>
                <w:szCs w:val="21"/>
                <w:lang w:bidi="ar"/>
              </w:rPr>
              <w:t>技术参数</w:t>
            </w:r>
          </w:p>
        </w:tc>
        <w:tc>
          <w:tcPr>
            <w:tcW w:w="1701" w:type="dxa"/>
            <w:shd w:val="clear" w:color="auto" w:fill="auto"/>
            <w:noWrap/>
            <w:vAlign w:val="center"/>
          </w:tcPr>
          <w:p>
            <w:pPr>
              <w:widowControl/>
              <w:jc w:val="center"/>
              <w:textAlignment w:val="center"/>
              <w:rPr>
                <w:b/>
                <w:bCs/>
                <w:color w:val="000000"/>
                <w:szCs w:val="21"/>
              </w:rPr>
            </w:pPr>
            <w:r>
              <w:rPr>
                <w:b/>
                <w:bCs/>
                <w:color w:val="000000"/>
                <w:kern w:val="0"/>
                <w:szCs w:val="21"/>
                <w:lang w:bidi="ar"/>
              </w:rPr>
              <w:t>供应商响应指标</w:t>
            </w:r>
          </w:p>
        </w:tc>
        <w:tc>
          <w:tcPr>
            <w:tcW w:w="2427" w:type="dxa"/>
            <w:shd w:val="clear" w:color="auto" w:fill="auto"/>
            <w:noWrap/>
            <w:vAlign w:val="center"/>
          </w:tcPr>
          <w:p>
            <w:pPr>
              <w:widowControl/>
              <w:jc w:val="center"/>
              <w:textAlignment w:val="center"/>
              <w:rPr>
                <w:b/>
                <w:bCs/>
                <w:color w:val="000000"/>
                <w:szCs w:val="21"/>
              </w:rPr>
            </w:pPr>
            <w:r>
              <w:rPr>
                <w:b/>
                <w:bCs/>
                <w:color w:val="000000"/>
                <w:kern w:val="0"/>
                <w:szCs w:val="21"/>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6" w:type="dxa"/>
            <w:vMerge w:val="restart"/>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rFonts w:hint="eastAsia"/>
                <w:sz w:val="21"/>
                <w:szCs w:val="21"/>
                <w:lang w:val="en-US" w:eastAsia="zh-CN"/>
              </w:rPr>
            </w:pPr>
            <w:r>
              <w:rPr>
                <w:rFonts w:hint="eastAsia"/>
                <w:sz w:val="21"/>
                <w:szCs w:val="21"/>
                <w:lang w:val="en-US" w:eastAsia="zh-CN"/>
              </w:rPr>
              <w:t>工作条件</w:t>
            </w:r>
          </w:p>
        </w:tc>
        <w:tc>
          <w:tcPr>
            <w:tcW w:w="2035" w:type="dxa"/>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rFonts w:hint="default"/>
                <w:sz w:val="21"/>
                <w:szCs w:val="21"/>
                <w:lang w:val="en-US" w:eastAsia="zh-CN"/>
              </w:rPr>
            </w:pPr>
            <w:r>
              <w:rPr>
                <w:rFonts w:hint="eastAsia"/>
                <w:sz w:val="21"/>
                <w:szCs w:val="21"/>
                <w:lang w:val="en-US" w:eastAsia="zh-CN"/>
              </w:rPr>
              <w:t>#工作环境温度</w:t>
            </w:r>
          </w:p>
        </w:tc>
        <w:tc>
          <w:tcPr>
            <w:tcW w:w="2676" w:type="dxa"/>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sz w:val="21"/>
                <w:szCs w:val="21"/>
              </w:rPr>
            </w:pPr>
            <w:r>
              <w:rPr>
                <w:rFonts w:hint="eastAsia"/>
                <w:sz w:val="21"/>
                <w:szCs w:val="21"/>
              </w:rPr>
              <w:t>适于在气温为摄氏-</w:t>
            </w:r>
            <w:r>
              <w:rPr>
                <w:sz w:val="21"/>
                <w:szCs w:val="21"/>
              </w:rPr>
              <w:t>40</w:t>
            </w:r>
            <w:r>
              <w:rPr>
                <w:rFonts w:hint="eastAsia"/>
                <w:sz w:val="21"/>
                <w:szCs w:val="21"/>
              </w:rPr>
              <w:t>℃</w:t>
            </w:r>
            <w:r>
              <w:rPr>
                <w:sz w:val="21"/>
                <w:szCs w:val="21"/>
              </w:rPr>
              <w:t>~+85</w:t>
            </w:r>
            <w:r>
              <w:rPr>
                <w:rFonts w:hint="eastAsia"/>
                <w:sz w:val="21"/>
                <w:szCs w:val="21"/>
              </w:rPr>
              <w:t>℃下运行，且能够连续正常工作</w:t>
            </w:r>
          </w:p>
        </w:tc>
        <w:tc>
          <w:tcPr>
            <w:tcW w:w="1701" w:type="dxa"/>
            <w:shd w:val="clear" w:color="auto" w:fill="auto"/>
            <w:noWrap/>
            <w:vAlign w:val="center"/>
          </w:tcPr>
          <w:p>
            <w:pPr>
              <w:rPr>
                <w:color w:val="000000"/>
                <w:szCs w:val="21"/>
              </w:rPr>
            </w:pPr>
          </w:p>
        </w:tc>
        <w:tc>
          <w:tcPr>
            <w:tcW w:w="2427" w:type="dxa"/>
            <w:shd w:val="clear" w:color="auto" w:fill="auto"/>
            <w:noWrap/>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6" w:type="dxa"/>
            <w:vMerge w:val="continue"/>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rFonts w:hint="eastAsia"/>
                <w:sz w:val="21"/>
                <w:szCs w:val="21"/>
                <w:lang w:val="en-US" w:eastAsia="zh-CN"/>
              </w:rPr>
            </w:pPr>
          </w:p>
        </w:tc>
        <w:tc>
          <w:tcPr>
            <w:tcW w:w="2035" w:type="dxa"/>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rFonts w:hint="eastAsia"/>
                <w:sz w:val="21"/>
                <w:szCs w:val="21"/>
                <w:lang w:val="en-US" w:eastAsia="zh-CN"/>
              </w:rPr>
            </w:pPr>
            <w:r>
              <w:rPr>
                <w:rFonts w:hint="eastAsia"/>
                <w:sz w:val="21"/>
                <w:szCs w:val="21"/>
                <w:lang w:val="en-US" w:eastAsia="zh-CN"/>
              </w:rPr>
              <w:t>#</w:t>
            </w:r>
            <w:r>
              <w:rPr>
                <w:rFonts w:hint="eastAsia"/>
                <w:sz w:val="21"/>
                <w:szCs w:val="21"/>
              </w:rPr>
              <w:t>硅光倍增管雪崩电压</w:t>
            </w:r>
          </w:p>
        </w:tc>
        <w:tc>
          <w:tcPr>
            <w:tcW w:w="2676" w:type="dxa"/>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rFonts w:hint="eastAsia"/>
                <w:sz w:val="21"/>
                <w:szCs w:val="21"/>
                <w:lang w:val="en-US" w:eastAsia="zh-CN"/>
              </w:rPr>
            </w:pPr>
            <w:r>
              <w:rPr>
                <w:rFonts w:hint="eastAsia"/>
                <w:sz w:val="21"/>
                <w:szCs w:val="21"/>
              </w:rPr>
              <w:t>&lt;3</w:t>
            </w:r>
            <w:r>
              <w:rPr>
                <w:sz w:val="21"/>
                <w:szCs w:val="21"/>
              </w:rPr>
              <w:t>0</w:t>
            </w:r>
            <w:r>
              <w:rPr>
                <w:rFonts w:hint="eastAsia"/>
                <w:sz w:val="21"/>
                <w:szCs w:val="21"/>
              </w:rPr>
              <w:t>V</w:t>
            </w:r>
          </w:p>
        </w:tc>
        <w:tc>
          <w:tcPr>
            <w:tcW w:w="1701" w:type="dxa"/>
            <w:shd w:val="clear" w:color="auto" w:fill="auto"/>
            <w:noWrap/>
            <w:vAlign w:val="center"/>
          </w:tcPr>
          <w:p>
            <w:pPr>
              <w:rPr>
                <w:color w:val="000000"/>
                <w:szCs w:val="21"/>
              </w:rPr>
            </w:pPr>
          </w:p>
        </w:tc>
        <w:tc>
          <w:tcPr>
            <w:tcW w:w="2427" w:type="dxa"/>
            <w:shd w:val="clear" w:color="auto" w:fill="auto"/>
            <w:noWrap/>
            <w:vAlign w:val="center"/>
          </w:tcPr>
          <w:p>
            <w:pPr>
              <w:rPr>
                <w:color w:val="000000"/>
                <w:szCs w:val="21"/>
              </w:rPr>
            </w:pPr>
          </w:p>
        </w:tc>
      </w:tr>
      <w:tr>
        <w:tblPrEx>
          <w:tblCellMar>
            <w:top w:w="0" w:type="dxa"/>
            <w:left w:w="108" w:type="dxa"/>
            <w:bottom w:w="0" w:type="dxa"/>
            <w:right w:w="108" w:type="dxa"/>
          </w:tblCellMar>
        </w:tblPrEx>
        <w:trPr>
          <w:trHeight w:val="90" w:hRule="atLeast"/>
          <w:jc w:val="center"/>
        </w:trPr>
        <w:tc>
          <w:tcPr>
            <w:tcW w:w="1096" w:type="dxa"/>
            <w:vMerge w:val="restart"/>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sz w:val="21"/>
                <w:szCs w:val="21"/>
              </w:rPr>
            </w:pPr>
            <w:r>
              <w:rPr>
                <w:rFonts w:hint="eastAsia"/>
                <w:sz w:val="21"/>
                <w:szCs w:val="21"/>
              </w:rPr>
              <w:t>单片硅光电倍增管大小及封装</w:t>
            </w:r>
          </w:p>
        </w:tc>
        <w:tc>
          <w:tcPr>
            <w:tcW w:w="2035" w:type="dxa"/>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sz w:val="21"/>
                <w:szCs w:val="21"/>
              </w:rPr>
            </w:pPr>
            <w:r>
              <w:rPr>
                <w:sz w:val="21"/>
                <w:szCs w:val="21"/>
              </w:rPr>
              <w:t>*</w:t>
            </w:r>
            <w:r>
              <w:rPr>
                <w:rFonts w:hint="eastAsia"/>
                <w:sz w:val="21"/>
                <w:szCs w:val="21"/>
              </w:rPr>
              <w:t>单片硅光电倍增管封装尺寸</w:t>
            </w:r>
          </w:p>
        </w:tc>
        <w:tc>
          <w:tcPr>
            <w:tcW w:w="2676" w:type="dxa"/>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sz w:val="21"/>
                <w:szCs w:val="21"/>
              </w:rPr>
            </w:pPr>
            <w:r>
              <w:rPr>
                <w:sz w:val="21"/>
                <w:szCs w:val="21"/>
              </w:rPr>
              <w:t>6.0mm</w:t>
            </w:r>
            <w:r>
              <w:rPr>
                <w:rFonts w:hint="eastAsia"/>
                <w:sz w:val="21"/>
                <w:szCs w:val="21"/>
              </w:rPr>
              <w:t xml:space="preserve"> ~</w:t>
            </w:r>
            <w:r>
              <w:rPr>
                <w:sz w:val="21"/>
                <w:szCs w:val="21"/>
              </w:rPr>
              <w:t>6.3 mm</w:t>
            </w:r>
          </w:p>
        </w:tc>
        <w:tc>
          <w:tcPr>
            <w:tcW w:w="1701" w:type="dxa"/>
            <w:shd w:val="clear" w:color="auto" w:fill="auto"/>
            <w:noWrap/>
            <w:vAlign w:val="center"/>
          </w:tcPr>
          <w:p>
            <w:pPr>
              <w:rPr>
                <w:color w:val="000000"/>
                <w:szCs w:val="21"/>
              </w:rPr>
            </w:pPr>
          </w:p>
        </w:tc>
        <w:tc>
          <w:tcPr>
            <w:tcW w:w="2427" w:type="dxa"/>
            <w:shd w:val="clear" w:color="auto" w:fill="auto"/>
            <w:noWrap/>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96" w:type="dxa"/>
            <w:vMerge w:val="continue"/>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sz w:val="21"/>
                <w:szCs w:val="21"/>
              </w:rPr>
            </w:pPr>
          </w:p>
        </w:tc>
        <w:tc>
          <w:tcPr>
            <w:tcW w:w="2035" w:type="dxa"/>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sz w:val="21"/>
                <w:szCs w:val="21"/>
              </w:rPr>
            </w:pPr>
            <w:r>
              <w:rPr>
                <w:sz w:val="21"/>
                <w:szCs w:val="21"/>
              </w:rPr>
              <w:t>#</w:t>
            </w:r>
            <w:r>
              <w:rPr>
                <w:rFonts w:hint="eastAsia"/>
                <w:sz w:val="21"/>
                <w:szCs w:val="21"/>
              </w:rPr>
              <w:t>单片硅光电倍增管封装尺寸精度</w:t>
            </w:r>
          </w:p>
        </w:tc>
        <w:tc>
          <w:tcPr>
            <w:tcW w:w="2676" w:type="dxa"/>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sz w:val="21"/>
                <w:szCs w:val="21"/>
              </w:rPr>
            </w:pPr>
            <w:r>
              <w:rPr>
                <w:rFonts w:hint="eastAsia"/>
                <w:sz w:val="21"/>
                <w:szCs w:val="21"/>
              </w:rPr>
              <w:t>≤0</w:t>
            </w:r>
            <w:r>
              <w:rPr>
                <w:sz w:val="21"/>
                <w:szCs w:val="21"/>
              </w:rPr>
              <w:t>.05</w:t>
            </w:r>
            <w:r>
              <w:rPr>
                <w:rFonts w:hint="eastAsia"/>
                <w:sz w:val="21"/>
                <w:szCs w:val="21"/>
              </w:rPr>
              <w:t>mm</w:t>
            </w:r>
          </w:p>
        </w:tc>
        <w:tc>
          <w:tcPr>
            <w:tcW w:w="1701" w:type="dxa"/>
            <w:shd w:val="clear" w:color="auto" w:fill="auto"/>
            <w:noWrap/>
            <w:vAlign w:val="center"/>
          </w:tcPr>
          <w:p>
            <w:pPr>
              <w:rPr>
                <w:color w:val="000000"/>
                <w:szCs w:val="21"/>
              </w:rPr>
            </w:pPr>
          </w:p>
        </w:tc>
        <w:tc>
          <w:tcPr>
            <w:tcW w:w="2427" w:type="dxa"/>
            <w:shd w:val="clear" w:color="auto" w:fill="auto"/>
            <w:noWrap/>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96" w:type="dxa"/>
            <w:vMerge w:val="continue"/>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sz w:val="21"/>
                <w:szCs w:val="21"/>
              </w:rPr>
            </w:pPr>
          </w:p>
        </w:tc>
        <w:tc>
          <w:tcPr>
            <w:tcW w:w="2035" w:type="dxa"/>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sz w:val="21"/>
                <w:szCs w:val="21"/>
              </w:rPr>
            </w:pPr>
            <w:r>
              <w:rPr>
                <w:sz w:val="21"/>
                <w:szCs w:val="21"/>
              </w:rPr>
              <w:t>*</w:t>
            </w:r>
            <w:r>
              <w:rPr>
                <w:rFonts w:hint="eastAsia"/>
                <w:sz w:val="21"/>
                <w:szCs w:val="21"/>
              </w:rPr>
              <w:t>单片硅光电倍增管光敏感区尺寸</w:t>
            </w:r>
          </w:p>
        </w:tc>
        <w:tc>
          <w:tcPr>
            <w:tcW w:w="2676" w:type="dxa"/>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sz w:val="21"/>
                <w:szCs w:val="21"/>
              </w:rPr>
            </w:pPr>
            <w:r>
              <w:rPr>
                <w:sz w:val="21"/>
                <w:szCs w:val="21"/>
              </w:rPr>
              <w:t>6.0mm</w:t>
            </w:r>
            <w:r>
              <w:rPr>
                <w:rFonts w:hint="eastAsia"/>
                <w:sz w:val="21"/>
                <w:szCs w:val="21"/>
              </w:rPr>
              <w:t xml:space="preserve"> ~</w:t>
            </w:r>
            <w:r>
              <w:rPr>
                <w:sz w:val="21"/>
                <w:szCs w:val="21"/>
              </w:rPr>
              <w:t>6.1 mm</w:t>
            </w:r>
          </w:p>
        </w:tc>
        <w:tc>
          <w:tcPr>
            <w:tcW w:w="1701" w:type="dxa"/>
            <w:shd w:val="clear" w:color="auto" w:fill="auto"/>
            <w:noWrap/>
            <w:vAlign w:val="center"/>
          </w:tcPr>
          <w:p>
            <w:pPr>
              <w:rPr>
                <w:color w:val="000000"/>
                <w:szCs w:val="21"/>
              </w:rPr>
            </w:pPr>
          </w:p>
        </w:tc>
        <w:tc>
          <w:tcPr>
            <w:tcW w:w="2427" w:type="dxa"/>
            <w:shd w:val="clear" w:color="auto" w:fill="auto"/>
            <w:noWrap/>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96" w:type="dxa"/>
            <w:vMerge w:val="continue"/>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sz w:val="21"/>
                <w:szCs w:val="21"/>
              </w:rPr>
            </w:pPr>
          </w:p>
        </w:tc>
        <w:tc>
          <w:tcPr>
            <w:tcW w:w="2035" w:type="dxa"/>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sz w:val="21"/>
                <w:szCs w:val="21"/>
              </w:rPr>
            </w:pPr>
            <w:r>
              <w:rPr>
                <w:sz w:val="21"/>
                <w:szCs w:val="21"/>
              </w:rPr>
              <w:t xml:space="preserve"># </w:t>
            </w:r>
            <w:r>
              <w:rPr>
                <w:rFonts w:hint="eastAsia"/>
                <w:sz w:val="21"/>
                <w:szCs w:val="21"/>
              </w:rPr>
              <w:t>单片硅光电倍增管光敏感区尺寸精度</w:t>
            </w:r>
          </w:p>
        </w:tc>
        <w:tc>
          <w:tcPr>
            <w:tcW w:w="2676" w:type="dxa"/>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sz w:val="21"/>
                <w:szCs w:val="21"/>
              </w:rPr>
            </w:pPr>
            <w:r>
              <w:rPr>
                <w:rFonts w:hint="eastAsia"/>
                <w:sz w:val="21"/>
                <w:szCs w:val="21"/>
              </w:rPr>
              <w:t>≤0</w:t>
            </w:r>
            <w:r>
              <w:rPr>
                <w:sz w:val="21"/>
                <w:szCs w:val="21"/>
              </w:rPr>
              <w:t>.05</w:t>
            </w:r>
            <w:r>
              <w:rPr>
                <w:rFonts w:hint="eastAsia"/>
                <w:sz w:val="21"/>
                <w:szCs w:val="21"/>
              </w:rPr>
              <w:t>mm</w:t>
            </w:r>
          </w:p>
        </w:tc>
        <w:tc>
          <w:tcPr>
            <w:tcW w:w="1701" w:type="dxa"/>
            <w:shd w:val="clear" w:color="auto" w:fill="auto"/>
            <w:noWrap/>
            <w:vAlign w:val="center"/>
          </w:tcPr>
          <w:p>
            <w:pPr>
              <w:rPr>
                <w:color w:val="000000"/>
                <w:szCs w:val="21"/>
              </w:rPr>
            </w:pPr>
          </w:p>
        </w:tc>
        <w:tc>
          <w:tcPr>
            <w:tcW w:w="2427" w:type="dxa"/>
            <w:shd w:val="clear" w:color="auto" w:fill="auto"/>
            <w:noWrap/>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96" w:type="dxa"/>
            <w:vMerge w:val="continue"/>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sz w:val="21"/>
                <w:szCs w:val="21"/>
              </w:rPr>
            </w:pPr>
          </w:p>
        </w:tc>
        <w:tc>
          <w:tcPr>
            <w:tcW w:w="2035" w:type="dxa"/>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sz w:val="21"/>
                <w:szCs w:val="21"/>
              </w:rPr>
            </w:pPr>
            <w:r>
              <w:rPr>
                <w:sz w:val="21"/>
                <w:szCs w:val="21"/>
              </w:rPr>
              <w:t xml:space="preserve">* </w:t>
            </w:r>
            <w:r>
              <w:rPr>
                <w:rFonts w:hint="eastAsia"/>
                <w:sz w:val="21"/>
                <w:szCs w:val="21"/>
              </w:rPr>
              <w:t>单片硅光电倍增管微元尺寸</w:t>
            </w:r>
          </w:p>
        </w:tc>
        <w:tc>
          <w:tcPr>
            <w:tcW w:w="2676" w:type="dxa"/>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sz w:val="21"/>
                <w:szCs w:val="21"/>
              </w:rPr>
            </w:pPr>
            <w:r>
              <w:rPr>
                <w:sz w:val="21"/>
                <w:szCs w:val="21"/>
              </w:rPr>
              <w:t>25 μm</w:t>
            </w:r>
            <w:r>
              <w:rPr>
                <w:rFonts w:hint="eastAsia"/>
                <w:sz w:val="21"/>
                <w:szCs w:val="21"/>
              </w:rPr>
              <w:t>~7</w:t>
            </w:r>
            <w:r>
              <w:rPr>
                <w:sz w:val="21"/>
                <w:szCs w:val="21"/>
              </w:rPr>
              <w:t>5 μm</w:t>
            </w:r>
          </w:p>
        </w:tc>
        <w:tc>
          <w:tcPr>
            <w:tcW w:w="1701" w:type="dxa"/>
            <w:shd w:val="clear" w:color="auto" w:fill="auto"/>
            <w:noWrap/>
            <w:vAlign w:val="center"/>
          </w:tcPr>
          <w:p>
            <w:pPr>
              <w:rPr>
                <w:color w:val="000000"/>
                <w:szCs w:val="21"/>
              </w:rPr>
            </w:pPr>
          </w:p>
        </w:tc>
        <w:tc>
          <w:tcPr>
            <w:tcW w:w="2427" w:type="dxa"/>
            <w:shd w:val="clear" w:color="auto" w:fill="auto"/>
            <w:noWrap/>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96" w:type="dxa"/>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sz w:val="21"/>
                <w:szCs w:val="21"/>
              </w:rPr>
            </w:pPr>
            <w:r>
              <w:rPr>
                <w:rFonts w:hint="eastAsia"/>
                <w:sz w:val="21"/>
                <w:szCs w:val="21"/>
              </w:rPr>
              <w:t>硅光电倍增管读出</w:t>
            </w:r>
          </w:p>
        </w:tc>
        <w:tc>
          <w:tcPr>
            <w:tcW w:w="2035" w:type="dxa"/>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sz w:val="21"/>
                <w:szCs w:val="21"/>
              </w:rPr>
            </w:pPr>
            <w:r>
              <w:rPr>
                <w:sz w:val="21"/>
                <w:szCs w:val="21"/>
              </w:rPr>
              <w:t>#</w:t>
            </w:r>
          </w:p>
        </w:tc>
        <w:tc>
          <w:tcPr>
            <w:tcW w:w="2676" w:type="dxa"/>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sz w:val="21"/>
                <w:szCs w:val="21"/>
              </w:rPr>
            </w:pPr>
            <w:r>
              <w:rPr>
                <w:rFonts w:hint="eastAsia"/>
                <w:sz w:val="21"/>
                <w:szCs w:val="21"/>
              </w:rPr>
              <w:t>需同时具备阴极、阳极、快信号三路读出功能</w:t>
            </w:r>
          </w:p>
        </w:tc>
        <w:tc>
          <w:tcPr>
            <w:tcW w:w="1701" w:type="dxa"/>
            <w:shd w:val="clear" w:color="auto" w:fill="auto"/>
            <w:noWrap/>
            <w:vAlign w:val="center"/>
          </w:tcPr>
          <w:p>
            <w:pPr>
              <w:rPr>
                <w:color w:val="000000"/>
                <w:szCs w:val="21"/>
              </w:rPr>
            </w:pPr>
          </w:p>
        </w:tc>
        <w:tc>
          <w:tcPr>
            <w:tcW w:w="2427" w:type="dxa"/>
            <w:shd w:val="clear" w:color="auto" w:fill="auto"/>
            <w:noWrap/>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96" w:type="dxa"/>
            <w:vMerge w:val="restart"/>
            <w:shd w:val="clear" w:color="auto" w:fill="auto"/>
            <w:noWrap/>
            <w:vAlign w:val="center"/>
          </w:tcPr>
          <w:p>
            <w:pPr>
              <w:rPr>
                <w:color w:val="000000"/>
                <w:szCs w:val="21"/>
              </w:rPr>
            </w:pPr>
            <w:r>
              <w:rPr>
                <w:rFonts w:hint="eastAsia"/>
                <w:sz w:val="21"/>
                <w:szCs w:val="21"/>
              </w:rPr>
              <w:t>硅光电倍增管物理性能</w:t>
            </w:r>
          </w:p>
        </w:tc>
        <w:tc>
          <w:tcPr>
            <w:tcW w:w="2035" w:type="dxa"/>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sz w:val="21"/>
                <w:szCs w:val="21"/>
              </w:rPr>
            </w:pPr>
            <w:r>
              <w:rPr>
                <w:sz w:val="21"/>
                <w:szCs w:val="21"/>
              </w:rPr>
              <w:t>#</w:t>
            </w:r>
            <w:r>
              <w:rPr>
                <w:rFonts w:hint="eastAsia"/>
                <w:sz w:val="21"/>
                <w:szCs w:val="21"/>
              </w:rPr>
              <w:t xml:space="preserve"> 可探测光子波长范围及峰值波长</w:t>
            </w:r>
          </w:p>
        </w:tc>
        <w:tc>
          <w:tcPr>
            <w:tcW w:w="2676" w:type="dxa"/>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sz w:val="21"/>
                <w:szCs w:val="21"/>
              </w:rPr>
            </w:pPr>
            <w:r>
              <w:rPr>
                <w:rFonts w:hint="eastAsia"/>
                <w:sz w:val="21"/>
                <w:szCs w:val="21"/>
              </w:rPr>
              <w:t>2</w:t>
            </w:r>
            <w:r>
              <w:rPr>
                <w:sz w:val="21"/>
                <w:szCs w:val="21"/>
              </w:rPr>
              <w:t>00</w:t>
            </w:r>
            <w:r>
              <w:rPr>
                <w:rFonts w:hint="eastAsia"/>
                <w:sz w:val="21"/>
                <w:szCs w:val="21"/>
              </w:rPr>
              <w:t>nm</w:t>
            </w:r>
            <w:r>
              <w:rPr>
                <w:sz w:val="21"/>
                <w:szCs w:val="21"/>
              </w:rPr>
              <w:t>-900</w:t>
            </w:r>
            <w:r>
              <w:rPr>
                <w:rFonts w:hint="eastAsia"/>
                <w:sz w:val="21"/>
                <w:szCs w:val="21"/>
              </w:rPr>
              <w:t>nm（条件：</w:t>
            </w:r>
            <w:r>
              <w:rPr>
                <w:sz w:val="21"/>
                <w:szCs w:val="21"/>
              </w:rPr>
              <w:t>PDE &gt; 2.0%</w:t>
            </w:r>
            <w:r>
              <w:rPr>
                <w:rFonts w:hint="eastAsia"/>
                <w:sz w:val="21"/>
                <w:szCs w:val="21"/>
              </w:rPr>
              <w:t>，过电压</w:t>
            </w:r>
            <w:r>
              <w:rPr>
                <w:sz w:val="21"/>
                <w:szCs w:val="21"/>
              </w:rPr>
              <w:t>+ 6.0 V</w:t>
            </w:r>
            <w:r>
              <w:rPr>
                <w:rFonts w:hint="eastAsia"/>
                <w:sz w:val="21"/>
                <w:szCs w:val="21"/>
              </w:rPr>
              <w:t>）</w:t>
            </w:r>
          </w:p>
        </w:tc>
        <w:tc>
          <w:tcPr>
            <w:tcW w:w="1701" w:type="dxa"/>
            <w:shd w:val="clear" w:color="auto" w:fill="auto"/>
            <w:noWrap/>
            <w:vAlign w:val="center"/>
          </w:tcPr>
          <w:p>
            <w:pPr>
              <w:rPr>
                <w:color w:val="000000"/>
                <w:szCs w:val="21"/>
              </w:rPr>
            </w:pPr>
          </w:p>
        </w:tc>
        <w:tc>
          <w:tcPr>
            <w:tcW w:w="2427" w:type="dxa"/>
            <w:shd w:val="clear" w:color="auto" w:fill="auto"/>
            <w:noWrap/>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96" w:type="dxa"/>
            <w:vMerge w:val="continue"/>
            <w:shd w:val="clear" w:color="auto" w:fill="auto"/>
            <w:noWrap/>
            <w:vAlign w:val="center"/>
          </w:tcPr>
          <w:p>
            <w:pPr>
              <w:rPr>
                <w:color w:val="000000"/>
                <w:szCs w:val="21"/>
              </w:rPr>
            </w:pPr>
          </w:p>
        </w:tc>
        <w:tc>
          <w:tcPr>
            <w:tcW w:w="2035" w:type="dxa"/>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sz w:val="21"/>
                <w:szCs w:val="21"/>
              </w:rPr>
            </w:pPr>
            <w:r>
              <w:rPr>
                <w:sz w:val="21"/>
                <w:szCs w:val="21"/>
              </w:rPr>
              <w:t>#</w:t>
            </w:r>
            <w:r>
              <w:rPr>
                <w:rFonts w:hint="eastAsia"/>
                <w:sz w:val="21"/>
                <w:szCs w:val="21"/>
              </w:rPr>
              <w:t>可探测光子峰值波长</w:t>
            </w:r>
          </w:p>
        </w:tc>
        <w:tc>
          <w:tcPr>
            <w:tcW w:w="2676" w:type="dxa"/>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sz w:val="21"/>
                <w:szCs w:val="21"/>
              </w:rPr>
            </w:pPr>
            <w:r>
              <w:rPr>
                <w:rFonts w:hint="eastAsia"/>
                <w:sz w:val="21"/>
                <w:szCs w:val="21"/>
              </w:rPr>
              <w:t>4</w:t>
            </w:r>
            <w:r>
              <w:rPr>
                <w:sz w:val="21"/>
                <w:szCs w:val="21"/>
              </w:rPr>
              <w:t>20</w:t>
            </w:r>
            <w:r>
              <w:rPr>
                <w:rFonts w:hint="eastAsia"/>
                <w:sz w:val="21"/>
                <w:szCs w:val="21"/>
              </w:rPr>
              <w:t>nm</w:t>
            </w:r>
          </w:p>
        </w:tc>
        <w:tc>
          <w:tcPr>
            <w:tcW w:w="1701" w:type="dxa"/>
            <w:shd w:val="clear" w:color="auto" w:fill="auto"/>
            <w:noWrap/>
            <w:vAlign w:val="center"/>
          </w:tcPr>
          <w:p>
            <w:pPr>
              <w:rPr>
                <w:color w:val="000000"/>
                <w:szCs w:val="21"/>
              </w:rPr>
            </w:pPr>
          </w:p>
        </w:tc>
        <w:tc>
          <w:tcPr>
            <w:tcW w:w="2427" w:type="dxa"/>
            <w:shd w:val="clear" w:color="auto" w:fill="auto"/>
            <w:noWrap/>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96" w:type="dxa"/>
            <w:vMerge w:val="continue"/>
            <w:shd w:val="clear" w:color="auto" w:fill="auto"/>
            <w:noWrap/>
            <w:vAlign w:val="center"/>
          </w:tcPr>
          <w:p>
            <w:pPr>
              <w:rPr>
                <w:color w:val="000000"/>
                <w:szCs w:val="21"/>
              </w:rPr>
            </w:pPr>
          </w:p>
        </w:tc>
        <w:tc>
          <w:tcPr>
            <w:tcW w:w="2035" w:type="dxa"/>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sz w:val="21"/>
                <w:szCs w:val="21"/>
              </w:rPr>
            </w:pPr>
            <w:r>
              <w:rPr>
                <w:sz w:val="21"/>
                <w:szCs w:val="21"/>
              </w:rPr>
              <w:t xml:space="preserve"># </w:t>
            </w:r>
            <w:r>
              <w:rPr>
                <w:rFonts w:hint="eastAsia"/>
                <w:sz w:val="21"/>
                <w:szCs w:val="21"/>
              </w:rPr>
              <w:t>光子探测效率（PDE）</w:t>
            </w:r>
          </w:p>
        </w:tc>
        <w:tc>
          <w:tcPr>
            <w:tcW w:w="2676" w:type="dxa"/>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sz w:val="21"/>
                <w:szCs w:val="21"/>
              </w:rPr>
            </w:pPr>
            <w:r>
              <w:rPr>
                <w:rFonts w:hint="eastAsia"/>
                <w:sz w:val="21"/>
                <w:szCs w:val="21"/>
              </w:rPr>
              <w:t>＞3</w:t>
            </w:r>
            <w:r>
              <w:rPr>
                <w:sz w:val="21"/>
                <w:szCs w:val="21"/>
              </w:rPr>
              <w:t>5%</w:t>
            </w:r>
            <w:r>
              <w:rPr>
                <w:rFonts w:hint="eastAsia"/>
                <w:sz w:val="21"/>
                <w:szCs w:val="21"/>
              </w:rPr>
              <w:t>（条件：过电压+</w:t>
            </w:r>
            <w:r>
              <w:rPr>
                <w:sz w:val="21"/>
                <w:szCs w:val="21"/>
              </w:rPr>
              <w:t>2.5</w:t>
            </w:r>
            <w:r>
              <w:rPr>
                <w:rFonts w:hint="eastAsia"/>
                <w:sz w:val="21"/>
                <w:szCs w:val="21"/>
              </w:rPr>
              <w:t>V，峰值波长）</w:t>
            </w:r>
          </w:p>
        </w:tc>
        <w:tc>
          <w:tcPr>
            <w:tcW w:w="1701" w:type="dxa"/>
            <w:shd w:val="clear" w:color="auto" w:fill="auto"/>
            <w:noWrap/>
            <w:vAlign w:val="center"/>
          </w:tcPr>
          <w:p>
            <w:pPr>
              <w:rPr>
                <w:color w:val="000000"/>
                <w:szCs w:val="21"/>
              </w:rPr>
            </w:pPr>
          </w:p>
        </w:tc>
        <w:tc>
          <w:tcPr>
            <w:tcW w:w="2427" w:type="dxa"/>
            <w:shd w:val="clear" w:color="auto" w:fill="auto"/>
            <w:noWrap/>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96" w:type="dxa"/>
            <w:vMerge w:val="continue"/>
            <w:shd w:val="clear" w:color="auto" w:fill="auto"/>
            <w:noWrap/>
            <w:vAlign w:val="center"/>
          </w:tcPr>
          <w:p>
            <w:pPr>
              <w:rPr>
                <w:color w:val="000000"/>
                <w:szCs w:val="21"/>
              </w:rPr>
            </w:pPr>
          </w:p>
        </w:tc>
        <w:tc>
          <w:tcPr>
            <w:tcW w:w="2035" w:type="dxa"/>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sz w:val="21"/>
                <w:szCs w:val="21"/>
              </w:rPr>
            </w:pPr>
            <w:r>
              <w:rPr>
                <w:sz w:val="21"/>
                <w:szCs w:val="21"/>
              </w:rPr>
              <w:t xml:space="preserve"># </w:t>
            </w:r>
            <w:r>
              <w:rPr>
                <w:rFonts w:hint="eastAsia"/>
                <w:sz w:val="21"/>
                <w:szCs w:val="21"/>
              </w:rPr>
              <w:t>暗计数率、暗电流（Dark</w:t>
            </w:r>
            <w:r>
              <w:rPr>
                <w:sz w:val="21"/>
                <w:szCs w:val="21"/>
              </w:rPr>
              <w:t xml:space="preserve"> </w:t>
            </w:r>
            <w:r>
              <w:rPr>
                <w:rFonts w:hint="eastAsia"/>
                <w:sz w:val="21"/>
                <w:szCs w:val="21"/>
              </w:rPr>
              <w:t>count</w:t>
            </w:r>
            <w:r>
              <w:rPr>
                <w:sz w:val="21"/>
                <w:szCs w:val="21"/>
              </w:rPr>
              <w:t xml:space="preserve"> </w:t>
            </w:r>
            <w:r>
              <w:rPr>
                <w:rFonts w:hint="eastAsia"/>
                <w:sz w:val="21"/>
                <w:szCs w:val="21"/>
              </w:rPr>
              <w:t>rate、Dark</w:t>
            </w:r>
            <w:r>
              <w:rPr>
                <w:sz w:val="21"/>
                <w:szCs w:val="21"/>
              </w:rPr>
              <w:t xml:space="preserve"> </w:t>
            </w:r>
            <w:r>
              <w:rPr>
                <w:rFonts w:hint="eastAsia"/>
                <w:sz w:val="21"/>
                <w:szCs w:val="21"/>
              </w:rPr>
              <w:t>current）</w:t>
            </w:r>
          </w:p>
        </w:tc>
        <w:tc>
          <w:tcPr>
            <w:tcW w:w="2676" w:type="dxa"/>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rFonts w:hint="eastAsia"/>
                <w:sz w:val="21"/>
                <w:szCs w:val="21"/>
              </w:rPr>
            </w:pPr>
            <w:r>
              <w:rPr>
                <w:rFonts w:hint="eastAsia"/>
                <w:sz w:val="21"/>
                <w:szCs w:val="21"/>
              </w:rPr>
              <w:t>＜</w:t>
            </w:r>
            <w:r>
              <w:rPr>
                <w:sz w:val="21"/>
                <w:szCs w:val="21"/>
              </w:rPr>
              <w:t>100</w:t>
            </w:r>
            <w:r>
              <w:rPr>
                <w:rFonts w:hint="eastAsia"/>
                <w:sz w:val="21"/>
                <w:szCs w:val="21"/>
              </w:rPr>
              <w:t>kHz</w:t>
            </w:r>
            <w:r>
              <w:rPr>
                <w:sz w:val="21"/>
                <w:szCs w:val="21"/>
              </w:rPr>
              <w:t>/</w:t>
            </w:r>
            <w:r>
              <w:rPr>
                <w:rFonts w:hint="eastAsia"/>
                <w:sz w:val="21"/>
                <w:szCs w:val="21"/>
              </w:rPr>
              <w:t>mm</w:t>
            </w:r>
            <w:r>
              <w:rPr>
                <w:sz w:val="21"/>
                <w:szCs w:val="21"/>
              </w:rPr>
              <w:t>2</w:t>
            </w:r>
          </w:p>
          <w:p>
            <w:pPr>
              <w:keepNext w:val="0"/>
              <w:keepLines w:val="0"/>
              <w:pageBreakBefore w:val="0"/>
              <w:kinsoku/>
              <w:wordWrap/>
              <w:overflowPunct/>
              <w:topLinePunct w:val="0"/>
              <w:autoSpaceDE/>
              <w:autoSpaceDN/>
              <w:bidi w:val="0"/>
              <w:adjustRightInd/>
              <w:snapToGrid/>
              <w:spacing w:line="360" w:lineRule="auto"/>
              <w:ind w:firstLine="0" w:firstLineChars="0"/>
              <w:rPr>
                <w:sz w:val="21"/>
                <w:szCs w:val="21"/>
              </w:rPr>
            </w:pPr>
            <w:r>
              <w:rPr>
                <w:rFonts w:hint="eastAsia"/>
                <w:sz w:val="21"/>
                <w:szCs w:val="21"/>
              </w:rPr>
              <w:t>＜</w:t>
            </w:r>
            <w:r>
              <w:rPr>
                <w:sz w:val="21"/>
                <w:szCs w:val="21"/>
              </w:rPr>
              <w:t>1.0μ</w:t>
            </w:r>
            <w:r>
              <w:rPr>
                <w:rFonts w:hint="eastAsia"/>
                <w:sz w:val="21"/>
                <w:szCs w:val="21"/>
              </w:rPr>
              <w:t>A（条件：过电压+</w:t>
            </w:r>
            <w:r>
              <w:rPr>
                <w:sz w:val="21"/>
                <w:szCs w:val="21"/>
              </w:rPr>
              <w:t>2.5</w:t>
            </w:r>
            <w:r>
              <w:rPr>
                <w:rFonts w:hint="eastAsia"/>
                <w:sz w:val="21"/>
                <w:szCs w:val="21"/>
              </w:rPr>
              <w:t>V，</w:t>
            </w:r>
            <w:r>
              <w:rPr>
                <w:sz w:val="21"/>
                <w:szCs w:val="21"/>
              </w:rPr>
              <w:t>21</w:t>
            </w:r>
            <w:r>
              <w:rPr>
                <w:rFonts w:hint="eastAsia"/>
                <w:sz w:val="21"/>
                <w:szCs w:val="21"/>
              </w:rPr>
              <w:t>℃）</w:t>
            </w:r>
          </w:p>
        </w:tc>
        <w:tc>
          <w:tcPr>
            <w:tcW w:w="1701" w:type="dxa"/>
            <w:shd w:val="clear" w:color="auto" w:fill="auto"/>
            <w:noWrap/>
            <w:vAlign w:val="center"/>
          </w:tcPr>
          <w:p>
            <w:pPr>
              <w:rPr>
                <w:color w:val="000000"/>
                <w:szCs w:val="21"/>
              </w:rPr>
            </w:pPr>
          </w:p>
        </w:tc>
        <w:tc>
          <w:tcPr>
            <w:tcW w:w="2427" w:type="dxa"/>
            <w:shd w:val="clear" w:color="auto" w:fill="auto"/>
            <w:noWrap/>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96" w:type="dxa"/>
            <w:vMerge w:val="continue"/>
            <w:shd w:val="clear" w:color="auto" w:fill="auto"/>
            <w:noWrap/>
            <w:vAlign w:val="center"/>
          </w:tcPr>
          <w:p>
            <w:pPr>
              <w:rPr>
                <w:color w:val="000000"/>
                <w:szCs w:val="21"/>
              </w:rPr>
            </w:pPr>
          </w:p>
        </w:tc>
        <w:tc>
          <w:tcPr>
            <w:tcW w:w="2035" w:type="dxa"/>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sz w:val="21"/>
                <w:szCs w:val="21"/>
              </w:rPr>
            </w:pPr>
            <w:r>
              <w:rPr>
                <w:sz w:val="21"/>
                <w:szCs w:val="21"/>
              </w:rPr>
              <w:t>#</w:t>
            </w:r>
            <w:r>
              <w:rPr>
                <w:rFonts w:hint="eastAsia"/>
                <w:sz w:val="21"/>
                <w:szCs w:val="21"/>
              </w:rPr>
              <w:t>阳极-阴极结电容</w:t>
            </w:r>
          </w:p>
        </w:tc>
        <w:tc>
          <w:tcPr>
            <w:tcW w:w="2676" w:type="dxa"/>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sz w:val="21"/>
                <w:szCs w:val="21"/>
              </w:rPr>
            </w:pPr>
            <w:r>
              <w:rPr>
                <w:rFonts w:hint="eastAsia"/>
                <w:sz w:val="21"/>
                <w:szCs w:val="21"/>
              </w:rPr>
              <w:t>＜</w:t>
            </w:r>
            <w:r>
              <w:rPr>
                <w:sz w:val="21"/>
                <w:szCs w:val="21"/>
              </w:rPr>
              <w:t>4200</w:t>
            </w:r>
            <w:r>
              <w:rPr>
                <w:rFonts w:hint="eastAsia"/>
                <w:sz w:val="21"/>
                <w:szCs w:val="21"/>
              </w:rPr>
              <w:t>pF</w:t>
            </w:r>
          </w:p>
        </w:tc>
        <w:tc>
          <w:tcPr>
            <w:tcW w:w="1701" w:type="dxa"/>
            <w:shd w:val="clear" w:color="auto" w:fill="auto"/>
            <w:noWrap/>
            <w:vAlign w:val="center"/>
          </w:tcPr>
          <w:p>
            <w:pPr>
              <w:rPr>
                <w:color w:val="000000"/>
                <w:szCs w:val="21"/>
              </w:rPr>
            </w:pPr>
          </w:p>
        </w:tc>
        <w:tc>
          <w:tcPr>
            <w:tcW w:w="2427" w:type="dxa"/>
            <w:shd w:val="clear" w:color="auto" w:fill="auto"/>
            <w:noWrap/>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96" w:type="dxa"/>
            <w:vMerge w:val="continue"/>
            <w:shd w:val="clear" w:color="auto" w:fill="auto"/>
            <w:noWrap/>
            <w:vAlign w:val="center"/>
          </w:tcPr>
          <w:p>
            <w:pPr>
              <w:rPr>
                <w:color w:val="000000"/>
                <w:szCs w:val="21"/>
              </w:rPr>
            </w:pPr>
          </w:p>
        </w:tc>
        <w:tc>
          <w:tcPr>
            <w:tcW w:w="2035" w:type="dxa"/>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sz w:val="21"/>
                <w:szCs w:val="21"/>
              </w:rPr>
            </w:pPr>
            <w:r>
              <w:rPr>
                <w:sz w:val="21"/>
                <w:szCs w:val="21"/>
              </w:rPr>
              <w:t>#</w:t>
            </w:r>
            <w:r>
              <w:rPr>
                <w:rFonts w:hint="eastAsia"/>
                <w:sz w:val="21"/>
                <w:szCs w:val="21"/>
              </w:rPr>
              <w:t>阳极-阴极之间的增益</w:t>
            </w:r>
          </w:p>
        </w:tc>
        <w:tc>
          <w:tcPr>
            <w:tcW w:w="2676" w:type="dxa"/>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sz w:val="21"/>
                <w:szCs w:val="21"/>
              </w:rPr>
            </w:pPr>
            <w:r>
              <w:rPr>
                <w:rFonts w:hint="eastAsia"/>
                <w:sz w:val="21"/>
                <w:szCs w:val="21"/>
              </w:rPr>
              <w:t>＞2×1</w:t>
            </w:r>
            <w:r>
              <w:rPr>
                <w:sz w:val="21"/>
                <w:szCs w:val="21"/>
              </w:rPr>
              <w:t>06</w:t>
            </w:r>
            <w:r>
              <w:rPr>
                <w:rFonts w:hint="eastAsia"/>
                <w:sz w:val="21"/>
                <w:szCs w:val="21"/>
              </w:rPr>
              <w:t>（过电压+</w:t>
            </w:r>
            <w:r>
              <w:rPr>
                <w:sz w:val="21"/>
                <w:szCs w:val="21"/>
              </w:rPr>
              <w:t>2.5</w:t>
            </w:r>
            <w:r>
              <w:rPr>
                <w:rFonts w:hint="eastAsia"/>
                <w:sz w:val="21"/>
                <w:szCs w:val="21"/>
              </w:rPr>
              <w:t>V）</w:t>
            </w:r>
          </w:p>
        </w:tc>
        <w:tc>
          <w:tcPr>
            <w:tcW w:w="1701" w:type="dxa"/>
            <w:shd w:val="clear" w:color="auto" w:fill="auto"/>
            <w:noWrap/>
            <w:vAlign w:val="center"/>
          </w:tcPr>
          <w:p>
            <w:pPr>
              <w:rPr>
                <w:color w:val="000000"/>
                <w:szCs w:val="21"/>
              </w:rPr>
            </w:pPr>
          </w:p>
        </w:tc>
        <w:tc>
          <w:tcPr>
            <w:tcW w:w="2427" w:type="dxa"/>
            <w:shd w:val="clear" w:color="auto" w:fill="auto"/>
            <w:noWrap/>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96" w:type="dxa"/>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sz w:val="21"/>
                <w:szCs w:val="21"/>
              </w:rPr>
            </w:pPr>
            <w:r>
              <w:rPr>
                <w:rFonts w:hint="eastAsia"/>
                <w:sz w:val="21"/>
                <w:szCs w:val="21"/>
              </w:rPr>
              <w:t>性能一致性</w:t>
            </w:r>
          </w:p>
        </w:tc>
        <w:tc>
          <w:tcPr>
            <w:tcW w:w="2035" w:type="dxa"/>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sz w:val="21"/>
                <w:szCs w:val="21"/>
              </w:rPr>
            </w:pPr>
            <w:r>
              <w:rPr>
                <w:sz w:val="21"/>
                <w:szCs w:val="21"/>
              </w:rPr>
              <w:t>#</w:t>
            </w:r>
            <w:bookmarkStart w:id="0" w:name="_GoBack"/>
            <w:bookmarkEnd w:id="0"/>
            <w:r>
              <w:rPr>
                <w:sz w:val="21"/>
                <w:szCs w:val="21"/>
              </w:rPr>
              <w:t xml:space="preserve"> 批量</w:t>
            </w:r>
            <w:r>
              <w:rPr>
                <w:rFonts w:hint="eastAsia"/>
                <w:sz w:val="21"/>
                <w:szCs w:val="21"/>
              </w:rPr>
              <w:t>雪崩电压一致性</w:t>
            </w:r>
          </w:p>
        </w:tc>
        <w:tc>
          <w:tcPr>
            <w:tcW w:w="2676" w:type="dxa"/>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rPr>
                <w:sz w:val="21"/>
                <w:szCs w:val="21"/>
              </w:rPr>
            </w:pPr>
            <w:r>
              <w:rPr>
                <w:rFonts w:hint="eastAsia"/>
                <w:sz w:val="21"/>
                <w:szCs w:val="21"/>
              </w:rPr>
              <w:t>±0</w:t>
            </w:r>
            <w:r>
              <w:rPr>
                <w:sz w:val="21"/>
                <w:szCs w:val="21"/>
              </w:rPr>
              <w:t>.25</w:t>
            </w:r>
            <w:r>
              <w:rPr>
                <w:rFonts w:hint="eastAsia"/>
                <w:sz w:val="21"/>
                <w:szCs w:val="21"/>
              </w:rPr>
              <w:t>V（3</w:t>
            </w:r>
            <w:r>
              <w:rPr>
                <w:sz w:val="21"/>
                <w:szCs w:val="21"/>
              </w:rPr>
              <w:t>σ</w:t>
            </w:r>
            <w:r>
              <w:rPr>
                <w:rFonts w:hint="eastAsia"/>
                <w:sz w:val="21"/>
                <w:szCs w:val="21"/>
              </w:rPr>
              <w:t>）</w:t>
            </w:r>
          </w:p>
        </w:tc>
        <w:tc>
          <w:tcPr>
            <w:tcW w:w="1701" w:type="dxa"/>
            <w:shd w:val="clear" w:color="auto" w:fill="auto"/>
            <w:noWrap/>
            <w:vAlign w:val="center"/>
          </w:tcPr>
          <w:p>
            <w:pPr>
              <w:rPr>
                <w:color w:val="000000"/>
                <w:szCs w:val="21"/>
              </w:rPr>
            </w:pPr>
          </w:p>
        </w:tc>
        <w:tc>
          <w:tcPr>
            <w:tcW w:w="2427" w:type="dxa"/>
            <w:shd w:val="clear" w:color="auto" w:fill="auto"/>
            <w:noWrap/>
            <w:vAlign w:val="center"/>
          </w:tcPr>
          <w:p>
            <w:pPr>
              <w:widowControl/>
              <w:jc w:val="left"/>
              <w:textAlignment w:val="center"/>
              <w:rPr>
                <w:color w:val="000000"/>
                <w:szCs w:val="21"/>
              </w:rPr>
            </w:pPr>
          </w:p>
        </w:tc>
      </w:tr>
    </w:tbl>
    <w:p>
      <w:pPr>
        <w:widowControl/>
        <w:jc w:val="left"/>
        <w:rPr>
          <w:rFonts w:hint="eastAsia"/>
          <w:bCs/>
          <w:sz w:val="32"/>
          <w:szCs w:val="32"/>
          <w:lang w:val="en-US" w:eastAsia="zh-CN"/>
        </w:rPr>
      </w:pPr>
      <w:r>
        <w:rPr>
          <w:rFonts w:hint="eastAsia"/>
          <w:sz w:val="24"/>
        </w:rPr>
        <w:t>注：</w:t>
      </w:r>
      <w:r>
        <w:rPr>
          <w:rFonts w:hint="eastAsia" w:ascii="宋体" w:hAnsi="宋体"/>
          <w:sz w:val="24"/>
        </w:rPr>
        <w:t>标记为“*”的指标是关键技术条款，</w:t>
      </w:r>
      <w:r>
        <w:rPr>
          <w:rFonts w:hint="eastAsia"/>
          <w:sz w:val="24"/>
        </w:rPr>
        <w:t>为必须满足条件，否则将被视为无效报价；</w:t>
      </w:r>
      <w:r>
        <w:rPr>
          <w:rFonts w:hint="eastAsia" w:ascii="宋体" w:hAnsi="宋体"/>
          <w:sz w:val="24"/>
        </w:rPr>
        <w:t>标记为</w:t>
      </w:r>
      <w:r>
        <w:rPr>
          <w:rFonts w:ascii="宋体" w:hAnsi="宋体"/>
          <w:sz w:val="24"/>
        </w:rPr>
        <w:t>“</w:t>
      </w:r>
      <w:r>
        <w:rPr>
          <w:rFonts w:hint="eastAsia" w:ascii="宋体" w:hAnsi="宋体"/>
          <w:sz w:val="24"/>
        </w:rPr>
        <w:t>#</w:t>
      </w:r>
      <w:r>
        <w:rPr>
          <w:rFonts w:ascii="宋体" w:hAnsi="宋体"/>
          <w:sz w:val="24"/>
        </w:rPr>
        <w:t>”</w:t>
      </w:r>
      <w:r>
        <w:rPr>
          <w:rFonts w:hint="eastAsia" w:ascii="宋体" w:hAnsi="宋体"/>
          <w:sz w:val="24"/>
        </w:rPr>
        <w:t>的指标</w:t>
      </w:r>
      <w:r>
        <w:rPr>
          <w:rFonts w:ascii="宋体" w:hAnsi="宋体"/>
          <w:sz w:val="24"/>
        </w:rPr>
        <w:t>是</w:t>
      </w:r>
      <w:r>
        <w:rPr>
          <w:rFonts w:hint="eastAsia" w:ascii="宋体" w:hAnsi="宋体"/>
          <w:sz w:val="24"/>
        </w:rPr>
        <w:t>重要技术条款</w:t>
      </w:r>
      <w:r>
        <w:rPr>
          <w:rFonts w:ascii="宋体" w:hAnsi="宋体"/>
          <w:sz w:val="24"/>
        </w:rPr>
        <w:t>，</w:t>
      </w:r>
      <w:r>
        <w:rPr>
          <w:rFonts w:hint="eastAsia" w:ascii="宋体" w:hAnsi="宋体"/>
          <w:sz w:val="24"/>
        </w:rPr>
        <w:t>负偏离会相应扣分。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Arial"/>
    <w:panose1 w:val="020B0604020202020204"/>
    <w:charset w:val="00"/>
    <w:family w:val="roman"/>
    <w:pitch w:val="default"/>
    <w:sig w:usb0="00000000" w:usb1="00000000" w:usb2="00000000" w:usb3="00000000" w:csb0="0000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6C5431"/>
    <w:multiLevelType w:val="multilevel"/>
    <w:tmpl w:val="006C5431"/>
    <w:lvl w:ilvl="0" w:tentative="0">
      <w:start w:val="1"/>
      <w:numFmt w:val="decimal"/>
      <w:lvlText w:val="（%1)"/>
      <w:lvlJc w:val="left"/>
      <w:pPr>
        <w:tabs>
          <w:tab w:val="left" w:pos="420"/>
        </w:tabs>
        <w:ind w:left="420" w:hanging="420"/>
      </w:pPr>
      <w:rPr>
        <w:rFonts w:hint="eastAsia"/>
      </w:rPr>
    </w:lvl>
    <w:lvl w:ilvl="1" w:tentative="0">
      <w:start w:val="4"/>
      <w:numFmt w:val="decimal"/>
      <w:lvlText w:val="%2、"/>
      <w:lvlJc w:val="left"/>
      <w:pPr>
        <w:tabs>
          <w:tab w:val="left" w:pos="780"/>
        </w:tabs>
        <w:ind w:left="780" w:hanging="36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2C962514"/>
    <w:multiLevelType w:val="multilevel"/>
    <w:tmpl w:val="2C962514"/>
    <w:lvl w:ilvl="0" w:tentative="0">
      <w:start w:val="2"/>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gxMjJiOTA2Zjk3NWZhOGQyZDIxYjM2YzJlOTNkYTAifQ=="/>
  </w:docVars>
  <w:rsids>
    <w:rsidRoot w:val="008F5DFB"/>
    <w:rsid w:val="00002A04"/>
    <w:rsid w:val="00006FEE"/>
    <w:rsid w:val="00042C7E"/>
    <w:rsid w:val="00042FFC"/>
    <w:rsid w:val="00092D37"/>
    <w:rsid w:val="00212659"/>
    <w:rsid w:val="0028410F"/>
    <w:rsid w:val="002E31B5"/>
    <w:rsid w:val="00376CF1"/>
    <w:rsid w:val="003A0AA7"/>
    <w:rsid w:val="00452C5A"/>
    <w:rsid w:val="00454F3D"/>
    <w:rsid w:val="0047733C"/>
    <w:rsid w:val="004A3E46"/>
    <w:rsid w:val="005051F8"/>
    <w:rsid w:val="00513A52"/>
    <w:rsid w:val="005547C8"/>
    <w:rsid w:val="005A3BD3"/>
    <w:rsid w:val="006128D6"/>
    <w:rsid w:val="006D4D1E"/>
    <w:rsid w:val="006D4D2F"/>
    <w:rsid w:val="006F3867"/>
    <w:rsid w:val="00790442"/>
    <w:rsid w:val="00852F31"/>
    <w:rsid w:val="00854EE2"/>
    <w:rsid w:val="008F5DFB"/>
    <w:rsid w:val="00937254"/>
    <w:rsid w:val="009B2404"/>
    <w:rsid w:val="00A0201D"/>
    <w:rsid w:val="00A023EE"/>
    <w:rsid w:val="00A03FEE"/>
    <w:rsid w:val="00A1601E"/>
    <w:rsid w:val="00C43BA5"/>
    <w:rsid w:val="00C51EDF"/>
    <w:rsid w:val="00D5727B"/>
    <w:rsid w:val="00F152D1"/>
    <w:rsid w:val="00F63BF4"/>
    <w:rsid w:val="00F65605"/>
    <w:rsid w:val="0AC80879"/>
    <w:rsid w:val="0D7E0B08"/>
    <w:rsid w:val="0F221B67"/>
    <w:rsid w:val="118B6400"/>
    <w:rsid w:val="12EC35FC"/>
    <w:rsid w:val="1DE101C9"/>
    <w:rsid w:val="28181F32"/>
    <w:rsid w:val="2BED0C84"/>
    <w:rsid w:val="30E574B7"/>
    <w:rsid w:val="30FF0C3A"/>
    <w:rsid w:val="323C7DCD"/>
    <w:rsid w:val="37820A90"/>
    <w:rsid w:val="42750D5C"/>
    <w:rsid w:val="59B403D1"/>
    <w:rsid w:val="66134265"/>
    <w:rsid w:val="6A2829D5"/>
    <w:rsid w:val="6C890479"/>
    <w:rsid w:val="73C1435C"/>
    <w:rsid w:val="752C424B"/>
    <w:rsid w:val="796B468C"/>
    <w:rsid w:val="7CFB1883"/>
    <w:rsid w:val="7DEF358F"/>
    <w:rsid w:val="7E2A00E0"/>
    <w:rsid w:val="7ECB34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eastAsia="宋体" w:cs="Courier New"/>
      <w:sz w:val="24"/>
      <w:szCs w:val="21"/>
    </w:rPr>
  </w:style>
  <w:style w:type="paragraph" w:styleId="3">
    <w:name w:val="Date"/>
    <w:basedOn w:val="1"/>
    <w:next w:val="1"/>
    <w:link w:val="12"/>
    <w:autoRedefine/>
    <w:qFormat/>
    <w:uiPriority w:val="0"/>
    <w:rPr>
      <w:szCs w:val="20"/>
    </w:rPr>
  </w:style>
  <w:style w:type="paragraph" w:styleId="4">
    <w:name w:val="footer"/>
    <w:basedOn w:val="1"/>
    <w:link w:val="11"/>
    <w:autoRedefine/>
    <w:unhideWhenUsed/>
    <w:qFormat/>
    <w:uiPriority w:val="99"/>
    <w:pPr>
      <w:tabs>
        <w:tab w:val="center" w:pos="4153"/>
        <w:tab w:val="right" w:pos="8306"/>
      </w:tabs>
      <w:snapToGrid w:val="0"/>
      <w:jc w:val="left"/>
    </w:pPr>
    <w:rPr>
      <w:sz w:val="18"/>
      <w:szCs w:val="18"/>
    </w:rPr>
  </w:style>
  <w:style w:type="paragraph" w:styleId="5">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qFormat/>
    <w:uiPriority w:val="0"/>
    <w:pPr>
      <w:widowControl/>
      <w:spacing w:before="100" w:beforeAutospacing="1" w:after="100" w:afterAutospacing="1"/>
      <w:jc w:val="left"/>
    </w:pPr>
    <w:rPr>
      <w:rFonts w:ascii="Arial Unicode MS" w:hAnsi="Arial Unicode MS" w:eastAsia="Arial Unicode MS" w:cs="Times New Roman"/>
      <w:kern w:val="0"/>
      <w:sz w:val="24"/>
      <w:szCs w:val="24"/>
    </w:rPr>
  </w:style>
  <w:style w:type="table" w:styleId="8">
    <w:name w:val="Table Grid"/>
    <w:basedOn w:val="7"/>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页眉 Char"/>
    <w:basedOn w:val="9"/>
    <w:link w:val="5"/>
    <w:autoRedefine/>
    <w:qFormat/>
    <w:uiPriority w:val="99"/>
    <w:rPr>
      <w:sz w:val="18"/>
      <w:szCs w:val="18"/>
    </w:rPr>
  </w:style>
  <w:style w:type="character" w:customStyle="1" w:styleId="11">
    <w:name w:val="页脚 Char"/>
    <w:basedOn w:val="9"/>
    <w:link w:val="4"/>
    <w:autoRedefine/>
    <w:qFormat/>
    <w:uiPriority w:val="99"/>
    <w:rPr>
      <w:sz w:val="18"/>
      <w:szCs w:val="18"/>
    </w:rPr>
  </w:style>
  <w:style w:type="character" w:customStyle="1" w:styleId="12">
    <w:name w:val="日期 Char"/>
    <w:basedOn w:val="9"/>
    <w:link w:val="3"/>
    <w:autoRedefine/>
    <w:qFormat/>
    <w:uiPriority w:val="0"/>
    <w:rPr>
      <w:rFonts w:ascii="Times New Roman" w:hAnsi="Times New Roman" w:eastAsia="宋体" w:cs="Times New Roman"/>
      <w:szCs w:val="20"/>
    </w:rPr>
  </w:style>
  <w:style w:type="paragraph" w:styleId="13">
    <w:name w:val="List Paragraph"/>
    <w:basedOn w:val="1"/>
    <w:autoRedefine/>
    <w:qFormat/>
    <w:uiPriority w:val="34"/>
    <w:pPr>
      <w:ind w:firstLine="420" w:firstLineChars="200"/>
    </w:pPr>
  </w:style>
  <w:style w:type="character" w:customStyle="1" w:styleId="14">
    <w:name w:val="font11"/>
    <w:basedOn w:val="9"/>
    <w:autoRedefine/>
    <w:qFormat/>
    <w:uiPriority w:val="0"/>
    <w:rPr>
      <w:rFonts w:hint="eastAsia" w:ascii="宋体" w:hAnsi="宋体" w:eastAsia="宋体" w:cs="宋体"/>
      <w:color w:val="000000"/>
      <w:sz w:val="32"/>
      <w:szCs w:val="32"/>
      <w:u w:val="none"/>
    </w:rPr>
  </w:style>
  <w:style w:type="character" w:customStyle="1" w:styleId="15">
    <w:name w:val="font21"/>
    <w:basedOn w:val="9"/>
    <w:autoRedefine/>
    <w:qFormat/>
    <w:uiPriority w:val="0"/>
    <w:rPr>
      <w:rFonts w:hint="default" w:ascii="Times New Roman" w:hAnsi="Times New Roman" w:cs="Times New Roman"/>
      <w:color w:val="000000"/>
      <w:sz w:val="32"/>
      <w:szCs w:val="32"/>
      <w:u w:val="none"/>
    </w:rPr>
  </w:style>
  <w:style w:type="paragraph" w:customStyle="1" w:styleId="16">
    <w:name w:val="b1"/>
    <w:basedOn w:val="1"/>
    <w:autoRedefine/>
    <w:qFormat/>
    <w:uiPriority w:val="0"/>
    <w:pPr>
      <w:widowControl/>
      <w:spacing w:before="100" w:beforeAutospacing="1" w:after="100" w:afterAutospacing="1"/>
      <w:jc w:val="left"/>
    </w:pPr>
    <w:rPr>
      <w:rFonts w:hint="eastAsia" w:ascii="宋体" w:hAnsi="宋体" w:eastAsia="宋体" w:cs="Times New Roman"/>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1156</Words>
  <Characters>1203</Characters>
  <Lines>13</Lines>
  <Paragraphs>3</Paragraphs>
  <TotalTime>111</TotalTime>
  <ScaleCrop>false</ScaleCrop>
  <LinksUpToDate>false</LinksUpToDate>
  <CharactersWithSpaces>1209</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2026-08-11T01:20:00Z</dcterms:created>
  <dc:creator>adam ye</dc:creator>
  <cp:lastModifiedBy>'ㅅ'</cp:lastModifiedBy>
  <dcterms:modified xsi:type="dcterms:W3CDTF">2026-09-24T01:45:34Z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89702522C9C54C8DB54E8FBE3B382E7A_13</vt:lpwstr>
  </property>
  <property fmtid="{D5CDD505-2E9C-101B-9397-08002B2CF9AE}" pid="4" name="KSOTemplateDocerSaveRecord">
    <vt:lpwstr>eyJoZGlkIjoiOGU0ZDNkZDY3OTMwNGUxZGJlOGE3ODIyNzJlZGU1MDciLCJ1c2VySWQiOiI1MDY0ODYwMDIifQ==</vt:lpwstr>
  </property>
</Properties>
</file>