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2477D0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240" w:lineRule="auto"/>
        <w:ind w:left="0" w:right="0" w:firstLine="0"/>
        <w:jc w:val="center"/>
        <w:textAlignment w:val="auto"/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aps w:val="0"/>
          <w:color w:val="0F1115"/>
          <w:spacing w:val="0"/>
          <w:sz w:val="36"/>
          <w:szCs w:val="36"/>
          <w:shd w:val="clear" w:fill="FFFFFF"/>
          <w:lang w:val="en-US" w:eastAsia="zh-CN"/>
        </w:rPr>
        <w:t>膨胀法兰技术说明</w:t>
      </w:r>
    </w:p>
    <w:p w14:paraId="211F93B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400" w:lineRule="exact"/>
        <w:ind w:left="0" w:right="0" w:firstLine="0"/>
        <w:textAlignment w:val="auto"/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8"/>
          <w:szCs w:val="28"/>
          <w:shd w:val="clear" w:fill="FFFFFF"/>
        </w:rPr>
        <w:t>一、概述</w:t>
      </w:r>
    </w:p>
    <w:p w14:paraId="366A9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</w:rPr>
        <w:t>膨胀法兰（又称冲击波纹管）用于靶体系统氦容器</w:t>
      </w:r>
      <w:r>
        <w:rPr>
          <w:rFonts w:hint="eastAsia"/>
          <w:sz w:val="24"/>
          <w:szCs w:val="24"/>
          <w:lang w:val="en-US" w:eastAsia="zh-CN"/>
        </w:rPr>
        <w:t>的</w:t>
      </w:r>
      <w:r>
        <w:rPr>
          <w:rFonts w:hint="eastAsia"/>
          <w:sz w:val="24"/>
          <w:szCs w:val="24"/>
        </w:rPr>
        <w:t>真空密封场景。该产品采用内外同心焊接波纹管和金属密封膜片的全金属结</w:t>
      </w:r>
      <w:bookmarkStart w:id="0" w:name="_GoBack"/>
      <w:bookmarkEnd w:id="0"/>
      <w:r>
        <w:rPr>
          <w:rFonts w:hint="eastAsia"/>
          <w:sz w:val="24"/>
          <w:szCs w:val="24"/>
        </w:rPr>
        <w:t>构，具有抗辐射能力强、可补充安装和定位误差、预紧力较小、便于遥控维护等突出优点。</w:t>
      </w:r>
      <w:r>
        <w:rPr>
          <w:rFonts w:hint="eastAsia"/>
          <w:sz w:val="24"/>
          <w:szCs w:val="24"/>
          <w:lang w:val="en-US" w:eastAsia="zh-CN"/>
        </w:rPr>
        <w:t>膨胀法兰</w:t>
      </w:r>
      <w:r>
        <w:rPr>
          <w:rFonts w:hint="eastAsia"/>
          <w:sz w:val="24"/>
          <w:szCs w:val="24"/>
        </w:rPr>
        <w:t>将安装在靶体维护拖车上</w:t>
      </w:r>
      <w:r>
        <w:rPr>
          <w:rFonts w:hint="eastAsia"/>
          <w:sz w:val="24"/>
          <w:szCs w:val="24"/>
          <w:lang w:eastAsia="zh-CN"/>
        </w:rPr>
        <w:t>。</w:t>
      </w:r>
    </w:p>
    <w:p w14:paraId="0E6E1F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eastAsia="zh-CN"/>
        </w:rPr>
        <w:drawing>
          <wp:inline distT="0" distB="0" distL="114300" distR="114300">
            <wp:extent cx="3653155" cy="3221355"/>
            <wp:effectExtent l="0" t="0" r="4445" b="4445"/>
            <wp:docPr id="9" name="图片 9" descr="图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图片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53155" cy="3221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38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图1 膨胀法兰三维图</w:t>
      </w:r>
    </w:p>
    <w:p w14:paraId="69D863D1">
      <w:pPr>
        <w:pStyle w:val="3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20" w:beforeAutospacing="0" w:after="120" w:afterAutospacing="0" w:line="400" w:lineRule="exact"/>
        <w:ind w:left="0" w:right="0" w:firstLine="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8"/>
          <w:szCs w:val="28"/>
          <w:shd w:val="clear" w:fill="FFFFFF"/>
        </w:rPr>
        <w:t>主要</w:t>
      </w:r>
      <w:r>
        <w:rPr>
          <w:rFonts w:hint="eastAsia" w:ascii="宋体" w:hAnsi="宋体" w:eastAsia="宋体" w:cs="宋体"/>
          <w:b/>
          <w:bCs/>
          <w:caps w:val="0"/>
          <w:color w:val="0F1115"/>
          <w:spacing w:val="0"/>
          <w:sz w:val="28"/>
          <w:szCs w:val="28"/>
          <w:shd w:val="clear" w:fill="FFFFFF"/>
          <w:lang w:val="en-US" w:eastAsia="zh-CN"/>
        </w:rPr>
        <w:t>技术参数</w:t>
      </w:r>
    </w:p>
    <w:tbl>
      <w:tblPr>
        <w:tblStyle w:val="5"/>
        <w:tblW w:w="6393" w:type="dxa"/>
        <w:jc w:val="center"/>
        <w:tblBorders>
          <w:top w:val="single" w:color="auto" w:sz="6" w:space="0"/>
          <w:left w:val="none" w:color="auto" w:sz="0" w:space="0"/>
          <w:bottom w:val="single" w:color="auto" w:sz="6" w:space="0"/>
          <w:right w:val="none" w:color="auto" w:sz="0" w:space="0"/>
          <w:insideH w:val="single" w:color="auto" w:sz="6" w:space="0"/>
          <w:insideV w:val="single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80"/>
        <w:gridCol w:w="4613"/>
      </w:tblGrid>
      <w:tr w14:paraId="1207E098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" w:hRule="atLeast"/>
          <w:tblHeader/>
          <w:jc w:val="center"/>
        </w:trPr>
        <w:tc>
          <w:tcPr>
            <w:tcW w:w="178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86A7E95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参数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5098A00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要求</w:t>
            </w:r>
          </w:p>
        </w:tc>
      </w:tr>
      <w:tr w14:paraId="6483A7C7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" w:hRule="atLeast"/>
          <w:jc w:val="center"/>
        </w:trPr>
        <w:tc>
          <w:tcPr>
            <w:tcW w:w="178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7FAD67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外径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B18051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Φ720mm</w:t>
            </w:r>
            <w:r>
              <w:rPr>
                <w:rFonts w:hint="default" w:ascii="Times New Roman" w:hAnsi="Times New Roman" w:eastAsia="宋体" w:cs="Times New Roman"/>
                <w:color w:val="3964FE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3964FE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"http://lssf.cas.cn/sszs/ggsy/slzzy/xwdt/201405/t20140528_5055565.html" \t "https://chat.deepseek.com/a/chat/s/_blank" </w:instrText>
            </w:r>
            <w:r>
              <w:rPr>
                <w:rFonts w:hint="default" w:ascii="Times New Roman" w:hAnsi="Times New Roman" w:eastAsia="宋体" w:cs="Times New Roman"/>
                <w:color w:val="3964FE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3964FE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color w:val="3964FE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3964FE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instrText xml:space="preserve"> HYPERLINK "https://lssf01.cas.cn/lssf/xwhd/jsjz/201405/t20140528_4506442.html" \t "https://chat.deepseek.com/a/chat/s/_blank" </w:instrText>
            </w:r>
            <w:r>
              <w:rPr>
                <w:rFonts w:hint="default" w:ascii="Times New Roman" w:hAnsi="Times New Roman" w:eastAsia="宋体" w:cs="Times New Roman"/>
                <w:color w:val="3964FE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3964FE"/>
                <w:kern w:val="0"/>
                <w:sz w:val="24"/>
                <w:szCs w:val="24"/>
                <w:u w:val="none"/>
                <w:bdr w:val="single" w:color="auto" w:sz="12" w:space="0"/>
                <w:lang w:val="en-US" w:eastAsia="zh-CN" w:bidi="ar"/>
              </w:rPr>
              <w:fldChar w:fldCharType="end"/>
            </w:r>
          </w:p>
        </w:tc>
      </w:tr>
      <w:tr w14:paraId="38B970A2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" w:hRule="atLeast"/>
          <w:jc w:val="center"/>
        </w:trPr>
        <w:tc>
          <w:tcPr>
            <w:tcW w:w="178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0BA8DC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内径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6E19B3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Φ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20mm</w:t>
            </w:r>
          </w:p>
        </w:tc>
      </w:tr>
      <w:tr w14:paraId="6869D13A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" w:hRule="atLeast"/>
          <w:jc w:val="center"/>
        </w:trPr>
        <w:tc>
          <w:tcPr>
            <w:tcW w:w="178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B7B8BC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连接方式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CAC811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法兰连接</w:t>
            </w:r>
          </w:p>
        </w:tc>
      </w:tr>
      <w:tr w14:paraId="718CA4ED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" w:hRule="atLeast"/>
          <w:jc w:val="center"/>
        </w:trPr>
        <w:tc>
          <w:tcPr>
            <w:tcW w:w="178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9532FD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密封漏率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75896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优于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1.0×10⁻⁶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Pa·m³/s</w:t>
            </w:r>
          </w:p>
        </w:tc>
      </w:tr>
      <w:tr w14:paraId="62934F46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" w:hRule="atLeast"/>
          <w:jc w:val="center"/>
        </w:trPr>
        <w:tc>
          <w:tcPr>
            <w:tcW w:w="178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56A9DF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配套垫圈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D8AB9F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/>
                <w:sz w:val="24"/>
                <w:szCs w:val="24"/>
              </w:rPr>
              <w:t>耐辐照核级柔性石墨垫圈</w:t>
            </w:r>
          </w:p>
        </w:tc>
      </w:tr>
      <w:tr w14:paraId="2295C2B5">
        <w:tblPrEx>
          <w:tblBorders>
            <w:top w:val="single" w:color="auto" w:sz="6" w:space="0"/>
            <w:left w:val="none" w:color="auto" w:sz="0" w:space="0"/>
            <w:bottom w:val="single" w:color="auto" w:sz="6" w:space="0"/>
            <w:right w:val="none" w:color="auto" w:sz="0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" w:hRule="atLeast"/>
          <w:jc w:val="center"/>
        </w:trPr>
        <w:tc>
          <w:tcPr>
            <w:tcW w:w="1780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8EC70A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数量</w:t>
            </w:r>
          </w:p>
        </w:tc>
        <w:tc>
          <w:tcPr>
            <w:tcW w:w="4613" w:type="dxa"/>
            <w:tcBorders>
              <w:tl2br w:val="nil"/>
              <w:tr2bl w:val="nil"/>
            </w:tcBorders>
            <w:shd w:val="clear" w:color="auto" w:fill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E42262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1套</w:t>
            </w:r>
          </w:p>
        </w:tc>
      </w:tr>
    </w:tbl>
    <w:p w14:paraId="01BDFA58">
      <w:pPr>
        <w:ind w:firstLine="281" w:firstLineChars="100"/>
        <w:rPr>
          <w:rFonts w:hint="default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三、产品结构</w:t>
      </w:r>
    </w:p>
    <w:p w14:paraId="53480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膨胀法兰采用内外同心焊接波纹管和金属密封膜片的全金属结构</w:t>
      </w:r>
    </w:p>
    <w:p w14:paraId="1372C01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Theme="minorHAnsi" w:eastAsiaTheme="minorEastAsia"/>
          <w:b/>
          <w:bCs/>
          <w:sz w:val="24"/>
          <w:szCs w:val="24"/>
          <w:lang w:val="en-US" w:eastAsia="zh-CN"/>
        </w:rPr>
        <w:t>波纹管组件</w:t>
      </w:r>
      <w:r>
        <w:rPr>
          <w:rFonts w:hint="eastAsia" w:asciiTheme="minorHAnsi" w:eastAsiaTheme="minorEastAsia"/>
          <w:sz w:val="24"/>
          <w:szCs w:val="24"/>
          <w:lang w:val="en-US" w:eastAsia="zh-CN"/>
        </w:rPr>
        <w:t>：内外同心焊接波纹管，作为弹性补偿元件；</w:t>
      </w:r>
    </w:p>
    <w:p w14:paraId="4BE47E56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密封膜片</w:t>
      </w:r>
      <w:r>
        <w:rPr>
          <w:rFonts w:hint="default"/>
          <w:sz w:val="24"/>
          <w:szCs w:val="24"/>
          <w:lang w:val="en-US" w:eastAsia="zh-CN"/>
        </w:rPr>
        <w:t>：金属密封膜片，实现真空密封；</w:t>
      </w:r>
    </w:p>
    <w:p w14:paraId="3D7B774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2" w:firstLineChars="200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b/>
          <w:bCs/>
          <w:sz w:val="24"/>
          <w:szCs w:val="24"/>
          <w:lang w:val="en-US" w:eastAsia="zh-CN"/>
        </w:rPr>
        <w:t>法兰本体</w:t>
      </w:r>
      <w:r>
        <w:rPr>
          <w:rFonts w:hint="default"/>
          <w:sz w:val="24"/>
          <w:szCs w:val="24"/>
          <w:lang w:val="en-US" w:eastAsia="zh-CN"/>
        </w:rPr>
        <w:t>：大直径法兰，用于与氦容器</w:t>
      </w:r>
      <w:r>
        <w:rPr>
          <w:rFonts w:hint="eastAsia" w:asciiTheme="minorHAnsi" w:eastAsiaTheme="minorEastAsia"/>
          <w:sz w:val="24"/>
          <w:szCs w:val="24"/>
          <w:lang w:val="en-US" w:eastAsia="zh-CN"/>
        </w:rPr>
        <w:t>、快卸卡盘设备组件</w:t>
      </w:r>
      <w:r>
        <w:rPr>
          <w:rFonts w:hint="default"/>
          <w:sz w:val="24"/>
          <w:szCs w:val="24"/>
          <w:lang w:val="en-US" w:eastAsia="zh-CN"/>
        </w:rPr>
        <w:t>连接</w:t>
      </w:r>
      <w:r>
        <w:rPr>
          <w:rFonts w:hint="eastAsia" w:asciiTheme="minorHAnsi" w:eastAsiaTheme="minorEastAsia"/>
          <w:sz w:val="24"/>
          <w:szCs w:val="24"/>
          <w:lang w:val="en-US" w:eastAsia="zh-CN"/>
        </w:rPr>
        <w:t>。</w:t>
      </w:r>
    </w:p>
    <w:p w14:paraId="4BA60549">
      <w:pPr>
        <w:ind w:firstLine="281" w:firstLineChars="100"/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四、关键技术要求</w:t>
      </w:r>
    </w:p>
    <w:p w14:paraId="0BFF43B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0"/>
        <w:textAlignment w:val="auto"/>
        <w:rPr>
          <w:rFonts w:hint="eastAsia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密封漏率</w:t>
      </w:r>
      <w:r>
        <w:rPr>
          <w:rFonts w:hint="default" w:ascii="Times New Roman" w:hAnsi="Times New Roman"/>
          <w:b w:val="0"/>
          <w:sz w:val="24"/>
          <w:szCs w:val="24"/>
          <w:lang w:val="en-US" w:eastAsia="zh-CN"/>
        </w:rPr>
        <w:t>指标要求优于1.0×10⁻⁶ Pa·m³/s</w:t>
      </w:r>
      <w:r>
        <w:rPr>
          <w:rFonts w:ascii="Times New Roman" w:hAnsi="Times New Roman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；</w:t>
      </w:r>
    </w:p>
    <w:p w14:paraId="0E9409BA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0"/>
        <w:textAlignment w:val="auto"/>
        <w:rPr>
          <w:rFonts w:hint="eastAsia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零部件加工精度符合图纸要求；</w:t>
      </w:r>
    </w:p>
    <w:p w14:paraId="298B333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0"/>
        <w:textAlignment w:val="auto"/>
        <w:rPr>
          <w:rFonts w:hint="eastAsia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组装和焊接质量符合图纸和合同要求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；</w:t>
      </w:r>
    </w:p>
    <w:p w14:paraId="0881E749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0"/>
        <w:textAlignment w:val="auto"/>
        <w:rPr>
          <w:rFonts w:hint="eastAsia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配套使用耐辐照核级柔性石墨垫圈，确保在强辐照工作环境下密封性能的稳定、可靠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；</w:t>
      </w:r>
    </w:p>
    <w:p w14:paraId="19A0D918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0"/>
        <w:textAlignment w:val="auto"/>
        <w:rPr>
          <w:rFonts w:hint="eastAsia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</w:rPr>
        <w:t>产品制造应参照GB/T 12777-2019《金属波纹管膨胀节通用技术条件》等相关标准执行。</w:t>
      </w:r>
    </w:p>
    <w:p w14:paraId="4CE917B2">
      <w:pPr>
        <w:ind w:firstLine="281" w:firstLineChars="1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五、验收要求</w:t>
      </w:r>
    </w:p>
    <w:p w14:paraId="1EC66B71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0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零部件加工精度、组装和焊接质量须符合图纸和合同要求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；</w:t>
      </w:r>
    </w:p>
    <w:p w14:paraId="5B109088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0"/>
        <w:textAlignment w:val="auto"/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产品与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测密封平台（甲供）</w:t>
      </w:r>
      <w:r>
        <w:rPr>
          <w:rFonts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进行配合密封测试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；</w:t>
      </w:r>
    </w:p>
    <w:p w14:paraId="3CDC125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密封性能须通过实测验证，漏率优于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1.0×10⁻⁶ Pa·m³/s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；</w:t>
      </w:r>
    </w:p>
    <w:p w14:paraId="1E26A8C2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482" w:firstLineChars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提供加工制造记录、</w:t>
      </w:r>
      <w:r>
        <w:rPr>
          <w:rFonts w:ascii="Times New Roman" w:hAnsi="Times New Roman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材质证明及</w:t>
      </w:r>
      <w:r>
        <w:rPr>
          <w:rFonts w:hint="eastAsia" w:ascii="Times New Roman" w:hAnsi="Times New Roman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必要的</w:t>
      </w:r>
      <w:r>
        <w:rPr>
          <w:rFonts w:ascii="Times New Roman" w:hAnsi="Times New Roman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检测报告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。</w:t>
      </w:r>
    </w:p>
    <w:sectPr>
      <w:pgSz w:w="11906" w:h="16838"/>
      <w:pgMar w:top="1440" w:right="1800" w:bottom="1440" w:left="1800" w:header="851" w:footer="992" w:gutter="0"/>
      <w:pgBorders>
        <w:top w:val="single" w:color="auto" w:sz="4" w:space="1"/>
        <w:left w:val="none" w:sz="0" w:space="0"/>
        <w:bottom w:val="single" w:color="auto" w:sz="4" w:space="1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AF7047"/>
    <w:multiLevelType w:val="singleLevel"/>
    <w:tmpl w:val="90AF7047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30"/>
        <w:szCs w:val="30"/>
      </w:rPr>
    </w:lvl>
  </w:abstractNum>
  <w:abstractNum w:abstractNumId="1">
    <w:nsid w:val="9E8E01AA"/>
    <w:multiLevelType w:val="singleLevel"/>
    <w:tmpl w:val="9E8E01AA"/>
    <w:lvl w:ilvl="0" w:tentative="0">
      <w:start w:val="1"/>
      <w:numFmt w:val="decimal"/>
      <w:lvlText w:val="(%1)"/>
      <w:lvlJc w:val="left"/>
      <w:pPr>
        <w:ind w:left="0" w:leftChars="0" w:firstLine="482" w:firstLineChars="0"/>
      </w:pPr>
      <w:rPr>
        <w:rFonts w:hint="default" w:ascii="Times New Roman" w:hAnsi="Times New Roman" w:cs="Times New Roman"/>
        <w:sz w:val="24"/>
        <w:szCs w:val="24"/>
      </w:rPr>
    </w:lvl>
  </w:abstractNum>
  <w:abstractNum w:abstractNumId="2">
    <w:nsid w:val="06610F39"/>
    <w:multiLevelType w:val="singleLevel"/>
    <w:tmpl w:val="06610F3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2D82BCF"/>
    <w:multiLevelType w:val="singleLevel"/>
    <w:tmpl w:val="32D82BCF"/>
    <w:lvl w:ilvl="0" w:tentative="0">
      <w:start w:val="1"/>
      <w:numFmt w:val="decimal"/>
      <w:lvlText w:val="(%1)"/>
      <w:lvlJc w:val="left"/>
      <w:pPr>
        <w:ind w:left="0" w:leftChars="0" w:firstLine="482" w:firstLineChars="0"/>
      </w:pPr>
      <w:rPr>
        <w:rFonts w:hint="default" w:ascii="Times New Roman" w:hAnsi="Times New Roman" w:cs="Times New Roman"/>
        <w:sz w:val="24"/>
        <w:szCs w:val="24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201199"/>
    <w:rsid w:val="0BB55000"/>
    <w:rsid w:val="1B201199"/>
    <w:rsid w:val="24FB55B8"/>
    <w:rsid w:val="2A361562"/>
    <w:rsid w:val="2D7D3422"/>
    <w:rsid w:val="40B74360"/>
    <w:rsid w:val="5D9A2155"/>
    <w:rsid w:val="6AA67D9D"/>
    <w:rsid w:val="7B83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widowControl w:val="0"/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633</Words>
  <Characters>685</Characters>
  <Lines>0</Lines>
  <Paragraphs>0</Paragraphs>
  <TotalTime>1</TotalTime>
  <ScaleCrop>false</ScaleCrop>
  <LinksUpToDate>false</LinksUpToDate>
  <CharactersWithSpaces>693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2026-09-07T01:42:00Z</dcterms:created>
  <dc:creator>27597</dc:creator>
  <cp:lastModifiedBy>E崽、</cp:lastModifiedBy>
  <dcterms:modified xsi:type="dcterms:W3CDTF">2026-09-29T08:47:46Z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678F3483876F467193C4709668CDC2BF_11</vt:lpwstr>
  </property>
  <property fmtid="{D5CDD505-2E9C-101B-9397-08002B2CF9AE}" pid="4" name="KSOTemplateDocerSaveRecord">
    <vt:lpwstr>eyJoZGlkIjoiYWYwYTlmMTkxNDk4NzU2M2YzYTUzNmIwZTliOGFjZDMiLCJ1c2VySWQiOiI4MDEwMTYzNjcifQ==</vt:lpwstr>
  </property>
</Properties>
</file>